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B2455" w14:textId="77777777" w:rsidR="00AA1A9C" w:rsidRDefault="00AB4CAA">
      <w:r w:rsidRPr="00B6707A">
        <w:rPr>
          <w:noProof/>
        </w:rPr>
        <w:drawing>
          <wp:inline distT="0" distB="0" distL="0" distR="0" wp14:anchorId="509F3289" wp14:editId="066292BB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DB7D4" w14:textId="77777777" w:rsidR="00AA1A9C" w:rsidRDefault="005C7A11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«Modello di domanda di partecipazione — Allegato A»</w:t>
      </w:r>
    </w:p>
    <w:p w14:paraId="00822FE3" w14:textId="77777777" w:rsidR="00AA1A9C" w:rsidRDefault="00AB4CAA">
      <w:r w:rsidRPr="00B6707A">
        <w:rPr>
          <w:noProof/>
        </w:rPr>
        <w:drawing>
          <wp:inline distT="0" distB="0" distL="0" distR="0" wp14:anchorId="0EA3C510" wp14:editId="3BCBA1F9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3D236" w14:textId="77777777" w:rsidR="00AA1A9C" w:rsidRDefault="00AA1A9C">
      <w:pPr>
        <w:jc w:val="center"/>
      </w:pPr>
    </w:p>
    <w:p w14:paraId="7F5424AD" w14:textId="77777777" w:rsidR="00AA1A9C" w:rsidRDefault="00AA1A9C" w:rsidP="009A3B26">
      <w:pPr>
        <w:rPr>
          <w:rFonts w:ascii="Franklin Gothic Medium" w:hAnsi="Franklin Gothic Medium"/>
          <w:sz w:val="40"/>
          <w:szCs w:val="40"/>
        </w:rPr>
      </w:pPr>
    </w:p>
    <w:p w14:paraId="5A0FFBFE" w14:textId="77777777" w:rsidR="00AA1A9C" w:rsidRDefault="005C7A11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32431A2A" w14:textId="77777777" w:rsidR="00AA1A9C" w:rsidRDefault="00AA1A9C">
      <w:pPr>
        <w:jc w:val="center"/>
        <w:rPr>
          <w:rFonts w:ascii="Franklin Gothic Medium" w:hAnsi="Franklin Gothic Medium"/>
          <w:sz w:val="40"/>
          <w:szCs w:val="40"/>
        </w:rPr>
      </w:pPr>
    </w:p>
    <w:p w14:paraId="46ED3F54" w14:textId="25FA7E24" w:rsidR="00DD697E" w:rsidRPr="00026993" w:rsidRDefault="00DD697E" w:rsidP="00DD69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5803C0">
        <w:rPr>
          <w:sz w:val="36"/>
          <w:szCs w:val="24"/>
        </w:rPr>
        <w:t xml:space="preserve">Gara europea a procedura aperta telematica per l’affidamento </w:t>
      </w:r>
      <w:r w:rsidR="006969FD">
        <w:rPr>
          <w:sz w:val="36"/>
          <w:szCs w:val="24"/>
        </w:rPr>
        <w:t xml:space="preserve">della </w:t>
      </w:r>
      <w:r w:rsidRPr="005803C0">
        <w:rPr>
          <w:sz w:val="36"/>
          <w:szCs w:val="24"/>
        </w:rPr>
        <w:t xml:space="preserve">fornitura di tubazioni, raccordi, pezzi speciali in ghisa a grafite sferoidale, </w:t>
      </w:r>
      <w:r>
        <w:rPr>
          <w:sz w:val="36"/>
          <w:szCs w:val="24"/>
        </w:rPr>
        <w:t xml:space="preserve">PFA100 DN250 </w:t>
      </w:r>
      <w:r w:rsidRPr="005803C0">
        <w:rPr>
          <w:sz w:val="36"/>
          <w:szCs w:val="24"/>
        </w:rPr>
        <w:t>per condotte d’acqua potabile con servizio di consegna e scarico in cantiere o presso i magazzini/depositi d</w:t>
      </w:r>
      <w:r>
        <w:rPr>
          <w:sz w:val="36"/>
          <w:szCs w:val="24"/>
        </w:rPr>
        <w:t>ell’</w:t>
      </w:r>
      <w:r w:rsidRPr="005803C0">
        <w:rPr>
          <w:sz w:val="36"/>
          <w:szCs w:val="24"/>
        </w:rPr>
        <w:t xml:space="preserve">Acquedotto Langhe e Alpi Cuneesi S.p.A. [CIG </w:t>
      </w:r>
      <w:r w:rsidR="00093D8D" w:rsidRPr="00093D8D">
        <w:rPr>
          <w:sz w:val="36"/>
          <w:szCs w:val="24"/>
        </w:rPr>
        <w:t>9367955904</w:t>
      </w:r>
      <w:r>
        <w:rPr>
          <w:sz w:val="36"/>
          <w:szCs w:val="24"/>
        </w:rPr>
        <w:t xml:space="preserve"> </w:t>
      </w:r>
      <w:r w:rsidRPr="005803C0">
        <w:rPr>
          <w:sz w:val="36"/>
          <w:szCs w:val="24"/>
        </w:rPr>
        <w:t xml:space="preserve">– CUP </w:t>
      </w:r>
      <w:r w:rsidR="00093D8D" w:rsidRPr="00093D8D">
        <w:rPr>
          <w:sz w:val="36"/>
          <w:szCs w:val="24"/>
        </w:rPr>
        <w:t>J21D22000080006</w:t>
      </w:r>
      <w:r w:rsidR="00093D8D">
        <w:rPr>
          <w:sz w:val="36"/>
          <w:szCs w:val="24"/>
        </w:rPr>
        <w:t>]</w:t>
      </w:r>
    </w:p>
    <w:p w14:paraId="2B8A781D" w14:textId="77777777" w:rsidR="00AA1A9C" w:rsidRDefault="00AA1A9C">
      <w:pPr>
        <w:jc w:val="center"/>
        <w:rPr>
          <w:b/>
          <w:sz w:val="24"/>
          <w:szCs w:val="24"/>
        </w:rPr>
      </w:pPr>
    </w:p>
    <w:p w14:paraId="7A2EC401" w14:textId="77777777" w:rsidR="00AA1A9C" w:rsidRDefault="005C7A11">
      <w:pPr>
        <w:pStyle w:val="CSAArticolo"/>
      </w:pPr>
      <w:r>
        <w:t>Il/La sottoscritto/a</w:t>
      </w:r>
    </w:p>
    <w:p w14:paraId="6F224189" w14:textId="77777777" w:rsidR="00AA1A9C" w:rsidRDefault="005C7A11">
      <w:pPr>
        <w:pStyle w:val="CSAArticolo"/>
      </w:pPr>
      <w:r>
        <w:t>nato/a a                                                              il</w:t>
      </w:r>
    </w:p>
    <w:p w14:paraId="1039299F" w14:textId="77777777" w:rsidR="00AA1A9C" w:rsidRDefault="005C7A11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7BFE6E2F" w14:textId="77777777" w:rsidR="00AA1A9C" w:rsidRDefault="005C7A11">
      <w:pPr>
        <w:pStyle w:val="CSAArticolo"/>
      </w:pPr>
      <w:r>
        <w:t>Stato                                  Via/Piazza</w:t>
      </w:r>
    </w:p>
    <w:p w14:paraId="6AD5EE78" w14:textId="77777777" w:rsidR="00AA1A9C" w:rsidRDefault="005C7A11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2C2A52ED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EBC2623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30FF6F7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56822B16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5ABBBE29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6F7B1C8F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10388D7" w14:textId="77777777" w:rsidR="00AA1A9C" w:rsidRDefault="005C7A11">
      <w:pPr>
        <w:pStyle w:val="ACorpoarticolo"/>
        <w:numPr>
          <w:ilvl w:val="0"/>
          <w:numId w:val="1"/>
        </w:numPr>
        <w:tabs>
          <w:tab w:val="left" w:pos="-9804"/>
          <w:tab w:val="left" w:pos="-96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5FA599B6" w14:textId="77777777" w:rsidR="00AA1A9C" w:rsidRDefault="005C7A11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 di partecipare alla gara di appalto in oggetto in qualità di [barrare la casella che interessa]</w:t>
      </w:r>
    </w:p>
    <w:p w14:paraId="6F06D3C0" w14:textId="77777777"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73F65785" w14:textId="77777777" w:rsidR="00AA1A9C" w:rsidRDefault="005C7A11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4C888360" w14:textId="77777777" w:rsidR="00AA1A9C" w:rsidRDefault="005C7A11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AA1A9C" w14:paraId="74BB8C7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4CFAB" w14:textId="77777777" w:rsidR="00AA1A9C" w:rsidRDefault="005C7A11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FAC23" w14:textId="77777777"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 w14:paraId="5EC3FC37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6B39" w14:textId="77777777"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5A54" w14:textId="77777777" w:rsidR="00AA1A9C" w:rsidRDefault="00AA1A9C">
            <w:pPr>
              <w:pStyle w:val="CSAArticolo"/>
              <w:rPr>
                <w:szCs w:val="24"/>
              </w:rPr>
            </w:pPr>
          </w:p>
        </w:tc>
      </w:tr>
      <w:tr w:rsidR="00AA1A9C" w14:paraId="711E882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FB08F" w14:textId="77777777" w:rsidR="00AA1A9C" w:rsidRDefault="00AA1A9C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52AFA" w14:textId="77777777" w:rsidR="00AA1A9C" w:rsidRDefault="00AA1A9C">
            <w:pPr>
              <w:pStyle w:val="CSAArticolo"/>
              <w:rPr>
                <w:szCs w:val="24"/>
              </w:rPr>
            </w:pPr>
          </w:p>
        </w:tc>
      </w:tr>
    </w:tbl>
    <w:p w14:paraId="23B19006" w14:textId="77777777" w:rsidR="00AA1A9C" w:rsidRDefault="005C7A11">
      <w:pPr>
        <w:pStyle w:val="CSAArticolo"/>
        <w:spacing w:before="120" w:after="240"/>
      </w:pPr>
      <w:r>
        <w:rPr>
          <w:szCs w:val="24"/>
        </w:rPr>
        <w:lastRenderedPageBreak/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s.m.i. «</w:t>
      </w:r>
      <w:r>
        <w:rPr>
          <w:i/>
          <w:szCs w:val="24"/>
        </w:rPr>
        <w:t>Codice dei contratti pubblici</w:t>
      </w:r>
      <w:r>
        <w:rPr>
          <w:szCs w:val="24"/>
        </w:rPr>
        <w:t>» [in seguito “Codice”], ai sensi degli articoli 38, comma 3, 46, 47 e 48 del decreto del Presidente della Repubblica 28 dicembre 2000, n. 445 s.m.i. 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6DEF0441" w14:textId="77777777" w:rsidR="00AA1A9C" w:rsidRDefault="005C7A11">
      <w:pPr>
        <w:pStyle w:val="CSAArticolo"/>
        <w:spacing w:before="120"/>
        <w:jc w:val="center"/>
      </w:pPr>
      <w:r>
        <w:rPr>
          <w:b/>
          <w:smallCaps/>
          <w:sz w:val="28"/>
          <w:szCs w:val="28"/>
        </w:rPr>
        <w:t>dichiara</w:t>
      </w:r>
    </w:p>
    <w:p w14:paraId="058315CC" w14:textId="77777777" w:rsidR="00AA1A9C" w:rsidRDefault="005C7A11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10E7E10B" w14:textId="77777777" w:rsidR="00AA1A9C" w:rsidRDefault="00AA1A9C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18459D" w14:paraId="7EAFA7D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123BC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BABC" w14:textId="77777777" w:rsidR="0018459D" w:rsidRDefault="0018459D" w:rsidP="0018459D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CBD86" w14:textId="77777777" w:rsidR="0018459D" w:rsidRDefault="0018459D" w:rsidP="008E3D4E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non incorrere nelle cause di esclusione di cui all’art</w:t>
            </w:r>
            <w:r w:rsidR="008E3D4E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</w:t>
            </w:r>
            <w:r>
              <w:t xml:space="preserve">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comma 5 lett. c), c-bis), c-ter), c-quater), </w:t>
            </w:r>
            <w:r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18459D" w14:paraId="09D643D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3EDF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3C168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AF29" w14:textId="77777777"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all’articolo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18459D" w14:paraId="26A5B30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54FA5D0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0B990850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E0A05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2C73AA5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5B37DA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027A9B63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7DBBD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18459D" w14:paraId="493B485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D234CA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FFF07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277A9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97FFC1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11F616E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53C293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5C2A03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4A02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414B65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052324AA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D9015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46E1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1721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133D4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24D4895C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424D00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90B829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F601D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B091C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1FC095CB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A645A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CA9FC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5FC6F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61DF4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11D1C1E9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3F5A2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722FA2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9A2CCC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B56AD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4908BC5E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08B37A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DA331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E82A5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9AE2687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8459D" w14:paraId="29C40C3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2F4C3F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8CEE86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A731DE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30EB6B" w14:textId="77777777" w:rsidR="0018459D" w:rsidRDefault="0018459D" w:rsidP="0018459D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1155121" w14:textId="77777777"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E240BA" w14:paraId="0BF1AB0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57BAC" w14:textId="77777777" w:rsidR="00E240BA" w:rsidRDefault="00E240BA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67D42" w14:textId="77777777" w:rsidR="00E240BA" w:rsidRDefault="00E240BA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058D" w14:textId="77777777" w:rsidR="00E240BA" w:rsidRDefault="00E240BA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18459D" w14:paraId="09CDF1B2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AAC84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2BA7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8E7E" w14:textId="77777777" w:rsidR="0018459D" w:rsidRDefault="0018459D" w:rsidP="0018459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48C35608" w14:textId="77777777"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08C85E15" w14:textId="77777777" w:rsidR="0018459D" w:rsidRDefault="0018459D" w:rsidP="0018459D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18459D" w14:paraId="598ED9B0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DF7A1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1BDA5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3AD5" w14:textId="77777777" w:rsidR="004A6935" w:rsidRDefault="00560F6D" w:rsidP="00560F6D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18459D" w14:paraId="54454EA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2CBF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B863B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8663" w14:textId="77777777" w:rsidR="0018459D" w:rsidRDefault="00C42D1B" w:rsidP="003A2D6D">
            <w:pPr>
              <w:spacing w:before="60" w:after="60"/>
              <w:jc w:val="both"/>
            </w:pPr>
            <w:r w:rsidRPr="00C42D1B">
              <w:rPr>
                <w:sz w:val="24"/>
                <w:szCs w:val="24"/>
              </w:rPr>
              <w:t xml:space="preserve">di essere edotto degli obblighi di condotta previsti da parte di ALAC S.p.A, reperibili al seguente link: </w:t>
            </w:r>
            <w:hyperlink r:id="rId8" w:history="1">
              <w:r w:rsidRPr="00C42D1B">
                <w:rPr>
                  <w:rStyle w:val="Collegamentoipertestuale"/>
                  <w:sz w:val="24"/>
                  <w:szCs w:val="24"/>
                </w:rPr>
                <w:t>www.acquambiente.it/wp/?page_id=2109</w:t>
              </w:r>
            </w:hyperlink>
            <w:r w:rsidRPr="00C42D1B"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applicabili, le suddette previsioni, pena la risoluzione del contratto;</w:t>
            </w:r>
          </w:p>
        </w:tc>
      </w:tr>
      <w:tr w:rsidR="0018459D" w14:paraId="0B89EC5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7D3A3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EBBB4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B7AC" w14:textId="77777777" w:rsidR="0018459D" w:rsidRDefault="00E240BA" w:rsidP="00E240BA">
            <w:pPr>
              <w:keepNext/>
              <w:spacing w:before="120" w:after="60"/>
              <w:jc w:val="both"/>
              <w:rPr>
                <w:sz w:val="24"/>
                <w:szCs w:val="24"/>
              </w:rPr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 w:rsidR="0018459D">
              <w:rPr>
                <w:sz w:val="24"/>
                <w:szCs w:val="24"/>
              </w:rPr>
              <w:t>di impegnarsi ad uniformarsi, in caso di aggiudicazione, alla disciplina di cui agli articoli 17, comma 2, e 53, comma 3 del d.p.r. 633/1972 e a comunicare alla stazione appaltante la nomina del proprio rappresentante fiscale, nelle forme di legge;</w:t>
            </w:r>
          </w:p>
        </w:tc>
      </w:tr>
      <w:tr w:rsidR="0018459D" w14:paraId="3D03861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CC1E9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7EE99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92D16" w14:textId="77777777" w:rsidR="0018459D" w:rsidRDefault="00E240BA" w:rsidP="00E240BA">
            <w:pPr>
              <w:spacing w:before="60" w:after="60"/>
              <w:jc w:val="both"/>
            </w:pPr>
            <w:r w:rsidRPr="00B773F6">
              <w:rPr>
                <w:b/>
                <w:i/>
                <w:sz w:val="24"/>
                <w:szCs w:val="24"/>
              </w:rPr>
              <w:t>[nel caso di operatori economici non residenti e privi di stabile organizzazione in Italia]</w:t>
            </w:r>
            <w:r w:rsidRPr="00B773F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indica</w:t>
            </w:r>
            <w:r w:rsidR="0018459D">
              <w:rPr>
                <w:sz w:val="24"/>
                <w:szCs w:val="24"/>
              </w:rPr>
              <w:t xml:space="preserve"> i seguenti dati: domicilio fiscale </w:t>
            </w:r>
            <w:r>
              <w:rPr>
                <w:sz w:val="24"/>
                <w:szCs w:val="24"/>
              </w:rPr>
              <w:t>…</w:t>
            </w:r>
            <w:r w:rsidR="0018459D">
              <w:rPr>
                <w:sz w:val="24"/>
                <w:szCs w:val="24"/>
              </w:rPr>
              <w:t xml:space="preserve">…………………………………………………………………………………………; codice fiscale ……………….…………, partita IVA ………..……………….;  indica l’indirizzo PEC …………………………………………………………………. </w:t>
            </w:r>
            <w:r w:rsidR="0018459D">
              <w:rPr>
                <w:b/>
                <w:sz w:val="24"/>
                <w:szCs w:val="24"/>
              </w:rPr>
              <w:t>oppure</w:t>
            </w:r>
            <w:r w:rsidR="0018459D"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…………………………………………………..…….…………… ai fini delle comunicazioni di cui all’art. 76, comma 5 del Codice;</w:t>
            </w:r>
          </w:p>
        </w:tc>
      </w:tr>
      <w:tr w:rsidR="0018459D" w14:paraId="1848286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5681" w14:textId="77777777" w:rsidR="0018459D" w:rsidRDefault="0018459D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F8281" w14:textId="77777777" w:rsidR="0018459D" w:rsidRDefault="0018459D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816F" w14:textId="09EBD0B0" w:rsidR="0018459D" w:rsidRDefault="00E240BA" w:rsidP="00F51CBA">
            <w:pPr>
              <w:spacing w:before="60" w:after="60"/>
              <w:jc w:val="both"/>
            </w:pPr>
            <w:r w:rsidRPr="008C02E7">
              <w:rPr>
                <w:sz w:val="24"/>
              </w:rPr>
              <w:t>di aver preso visione e di accettare il trattamento dei dati personali di cui al punto 2</w:t>
            </w:r>
            <w:r w:rsidR="00F51CBA">
              <w:rPr>
                <w:sz w:val="24"/>
              </w:rPr>
              <w:t>8</w:t>
            </w:r>
            <w:bookmarkStart w:id="1" w:name="_GoBack"/>
            <w:bookmarkEnd w:id="1"/>
            <w:r>
              <w:rPr>
                <w:sz w:val="24"/>
              </w:rPr>
              <w:t xml:space="preserve"> del disciplinare di gara;</w:t>
            </w:r>
          </w:p>
        </w:tc>
      </w:tr>
      <w:tr w:rsidR="00B40F39" w14:paraId="225134C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261F" w14:textId="77777777" w:rsidR="00B40F39" w:rsidRDefault="00B40F39" w:rsidP="0018459D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D4A07" w14:textId="77777777" w:rsidR="00B40F39" w:rsidRDefault="00B40F39" w:rsidP="0018459D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D56B" w14:textId="77777777" w:rsidR="00E240BA" w:rsidRPr="00EF0E30" w:rsidRDefault="00E240BA" w:rsidP="00E240BA">
            <w:pPr>
              <w:keepNext/>
              <w:spacing w:before="60" w:after="60"/>
              <w:jc w:val="both"/>
              <w:rPr>
                <w:b/>
                <w:i/>
                <w:sz w:val="24"/>
                <w:szCs w:val="24"/>
              </w:rPr>
            </w:pPr>
            <w:r w:rsidRPr="00EF0E30">
              <w:rPr>
                <w:b/>
                <w:i/>
                <w:sz w:val="24"/>
                <w:szCs w:val="24"/>
              </w:rPr>
              <w:t>[per gli operatori economici ammessi al concordato preventivo con continuità aziendale di cui all’art. 186 bis del R.D. 16 marzo 1942, n. 267]</w:t>
            </w:r>
          </w:p>
          <w:p w14:paraId="5E8152C5" w14:textId="77777777" w:rsidR="00B40F39" w:rsidRDefault="00B40F39" w:rsidP="00B40F39">
            <w:pPr>
              <w:spacing w:before="60" w:after="60"/>
              <w:jc w:val="both"/>
              <w:rPr>
                <w:sz w:val="24"/>
                <w:szCs w:val="24"/>
              </w:rPr>
            </w:pPr>
            <w:bookmarkStart w:id="2" w:name="_Ref496787048"/>
            <w:r>
              <w:rPr>
                <w:sz w:val="24"/>
                <w:szCs w:val="24"/>
              </w:rPr>
              <w:t xml:space="preserve">indica, ad integrazione di quanto indicato nella parte  III, sez. C, lett.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2"/>
            <w:r>
              <w:rPr>
                <w:sz w:val="24"/>
                <w:szCs w:val="24"/>
              </w:rPr>
              <w:t>R.D. 16 marzo 1942, n. 267 s.m.i.</w:t>
            </w:r>
          </w:p>
        </w:tc>
      </w:tr>
      <w:tr w:rsidR="006613C1" w14:paraId="5CBFD4B1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338CC" w14:textId="77777777"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B6EA" w14:textId="77777777" w:rsidR="006613C1" w:rsidRDefault="009A3B26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3E973" w14:textId="77777777" w:rsidR="006613C1" w:rsidRPr="006613C1" w:rsidRDefault="00E240BA" w:rsidP="006613C1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essere iscritto nel </w:t>
            </w:r>
            <w:r w:rsidRPr="00547C69">
              <w:rPr>
                <w:sz w:val="24"/>
                <w:szCs w:val="24"/>
              </w:rPr>
              <w:t>registro delle imprese tenuto dalla Camera di commercio industria, artigianato e agricoltura per attività coerenti con quelle oggetto della presente procedura di gara</w:t>
            </w:r>
            <w:r>
              <w:rPr>
                <w:sz w:val="24"/>
                <w:szCs w:val="24"/>
              </w:rPr>
              <w:t>;</w:t>
            </w:r>
          </w:p>
        </w:tc>
      </w:tr>
      <w:tr w:rsidR="006613C1" w14:paraId="7256001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6411" w14:textId="77777777" w:rsidR="006613C1" w:rsidRDefault="006613C1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AAE0" w14:textId="77777777" w:rsidR="006613C1" w:rsidRDefault="006613C1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E5740" w14:textId="514570A9" w:rsidR="006613C1" w:rsidRDefault="00DD697E" w:rsidP="00DD697E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Pr="00DD697E">
              <w:rPr>
                <w:sz w:val="24"/>
                <w:szCs w:val="24"/>
              </w:rPr>
              <w:t xml:space="preserve"> aver eseguito nell’ultimo triennio almeno una fornitura analoga alla commessa in oggetto di diametro pari o superiore (PFA 100; DN &gt; 250) per una lunghezza com</w:t>
            </w:r>
            <w:r>
              <w:rPr>
                <w:sz w:val="24"/>
                <w:szCs w:val="24"/>
              </w:rPr>
              <w:t>plessiva minima di 12.000 metri;</w:t>
            </w:r>
          </w:p>
        </w:tc>
      </w:tr>
      <w:tr w:rsidR="00DD697E" w14:paraId="237B0E8A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3894D" w14:textId="77777777" w:rsidR="00DD697E" w:rsidRDefault="00DD697E" w:rsidP="006613C1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37A6" w14:textId="37EE6008" w:rsidR="00DD697E" w:rsidRDefault="00DD697E" w:rsidP="006613C1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ABA2" w14:textId="532BD07A" w:rsidR="00DD697E" w:rsidRDefault="00DD697E" w:rsidP="00DD697E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possedere </w:t>
            </w:r>
            <w:r w:rsidRPr="00DD697E">
              <w:rPr>
                <w:sz w:val="24"/>
                <w:szCs w:val="24"/>
              </w:rPr>
              <w:t>Certificato di Sistema di Qualità aziendale conforme alla norma UNI EN ISO 9001:2015, approvato da un Organismo terzo di certificazione accreditato secondo la norma UNI CEI EN 17021:2015.</w:t>
            </w:r>
          </w:p>
        </w:tc>
      </w:tr>
    </w:tbl>
    <w:p w14:paraId="684EB4B8" w14:textId="77777777" w:rsidR="00AA1A9C" w:rsidRDefault="00AA1A9C">
      <w:pPr>
        <w:pStyle w:val="CSAArticolo"/>
        <w:spacing w:before="120"/>
        <w:rPr>
          <w:szCs w:val="24"/>
        </w:rPr>
      </w:pPr>
    </w:p>
    <w:p w14:paraId="46960F59" w14:textId="35739B1E" w:rsidR="00AA1A9C" w:rsidRPr="00F611A8" w:rsidRDefault="005C7A11" w:rsidP="00F611A8">
      <w:pPr>
        <w:widowControl w:val="0"/>
        <w:ind w:left="5664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[Firma </w:t>
      </w:r>
      <w:r w:rsidR="00F22026">
        <w:rPr>
          <w:rFonts w:ascii="Arial Narrow" w:hAnsi="Arial Narrow"/>
        </w:rPr>
        <w:t>digitale</w:t>
      </w:r>
      <w:r>
        <w:rPr>
          <w:rFonts w:ascii="Arial Narrow" w:hAnsi="Arial Narrow"/>
        </w:rPr>
        <w:t>]</w:t>
      </w:r>
    </w:p>
    <w:p w14:paraId="05D7A739" w14:textId="77777777" w:rsidR="00AA1A9C" w:rsidRDefault="00F22026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br w:type="page"/>
      </w:r>
      <w:r w:rsidR="005C7A11">
        <w:rPr>
          <w:sz w:val="32"/>
          <w:szCs w:val="32"/>
        </w:rPr>
        <w:lastRenderedPageBreak/>
        <w:t>Obblighi informativi</w:t>
      </w:r>
    </w:p>
    <w:p w14:paraId="3D36D9AC" w14:textId="77777777" w:rsidR="00560F6D" w:rsidRDefault="00560F6D" w:rsidP="00560F6D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4F32A074" w14:textId="77777777" w:rsidR="008A4783" w:rsidRPr="008C02E7" w:rsidRDefault="008A4783" w:rsidP="008A4783">
      <w:pPr>
        <w:widowControl w:val="0"/>
        <w:suppressAutoHyphens w:val="0"/>
        <w:ind w:firstLine="709"/>
        <w:jc w:val="both"/>
        <w:textAlignment w:val="auto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>
          <w:rPr>
            <w:rStyle w:val="Collegamentoipertestuale"/>
            <w:sz w:val="24"/>
            <w:szCs w:val="24"/>
          </w:rPr>
          <w:t>www.comune.cuneo.it/fileadmin/comune_cuneo/content/amm_organiz/Amministrazione_trasparente/nomine_sindaco_e_consiglio/Privacy_DPO/informative/Appalti.pdf</w:t>
        </w:r>
      </w:hyperlink>
      <w:r w:rsidRPr="008C02E7"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2A3AB669" w14:textId="77777777" w:rsidR="00560F6D" w:rsidRDefault="00560F6D" w:rsidP="00560F6D">
      <w:pPr>
        <w:suppressAutoHyphens w:val="0"/>
        <w:autoSpaceDE w:val="0"/>
        <w:jc w:val="center"/>
        <w:textAlignment w:val="auto"/>
        <w:rPr>
          <w:b/>
          <w:sz w:val="24"/>
          <w:szCs w:val="24"/>
        </w:rPr>
      </w:pPr>
    </w:p>
    <w:p w14:paraId="2974A7B2" w14:textId="77777777"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Il dirigente</w:t>
      </w:r>
    </w:p>
    <w:p w14:paraId="7B52316D" w14:textId="77777777"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Settore Personale,</w:t>
      </w:r>
    </w:p>
    <w:p w14:paraId="1B3F13AB" w14:textId="77777777" w:rsidR="00560F6D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socio-educativo e appalti</w:t>
      </w:r>
    </w:p>
    <w:p w14:paraId="5DE23E57" w14:textId="77777777" w:rsidR="00B40F39" w:rsidRDefault="00560F6D" w:rsidP="00560F6D">
      <w:pPr>
        <w:tabs>
          <w:tab w:val="left" w:pos="6840"/>
        </w:tabs>
        <w:suppressAutoHyphens w:val="0"/>
        <w:ind w:left="5672"/>
        <w:jc w:val="center"/>
        <w:textAlignment w:val="auto"/>
      </w:pPr>
      <w:r>
        <w:rPr>
          <w:rFonts w:ascii="Book Antiqua" w:hAnsi="Book Antiqua"/>
          <w:b/>
          <w:sz w:val="24"/>
          <w:szCs w:val="24"/>
        </w:rPr>
        <w:t>Rinaldi</w:t>
      </w:r>
      <w:r>
        <w:rPr>
          <w:rFonts w:ascii="Book Antiqua" w:hAnsi="Book Antiqua"/>
          <w:b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Giorgio</w:t>
      </w:r>
    </w:p>
    <w:p w14:paraId="4B7E8ACA" w14:textId="77777777" w:rsidR="00AA1A9C" w:rsidRDefault="00AA1A9C">
      <w:pPr>
        <w:tabs>
          <w:tab w:val="left" w:pos="6840"/>
        </w:tabs>
        <w:suppressAutoHyphens w:val="0"/>
        <w:ind w:left="5672"/>
        <w:jc w:val="center"/>
        <w:textAlignment w:val="auto"/>
      </w:pPr>
    </w:p>
    <w:sectPr w:rsidR="00AA1A9C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6A3EB" w14:textId="77777777" w:rsidR="001207BE" w:rsidRDefault="001207BE">
      <w:r>
        <w:separator/>
      </w:r>
    </w:p>
  </w:endnote>
  <w:endnote w:type="continuationSeparator" w:id="0">
    <w:p w14:paraId="22606A61" w14:textId="77777777" w:rsidR="001207BE" w:rsidRDefault="0012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55DDE" w14:textId="77777777" w:rsidR="001207BE" w:rsidRDefault="001207BE">
      <w:r>
        <w:rPr>
          <w:color w:val="000000"/>
        </w:rPr>
        <w:separator/>
      </w:r>
    </w:p>
  </w:footnote>
  <w:footnote w:type="continuationSeparator" w:id="0">
    <w:p w14:paraId="56CE7B2F" w14:textId="77777777" w:rsidR="001207BE" w:rsidRDefault="001207BE">
      <w:r>
        <w:continuationSeparator/>
      </w:r>
    </w:p>
  </w:footnote>
  <w:footnote w:id="1">
    <w:p w14:paraId="1AE4C734" w14:textId="77777777" w:rsidR="00AA1A9C" w:rsidRDefault="005C7A11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55BAC325" w14:textId="77777777" w:rsidR="00AA1A9C" w:rsidRDefault="005C7A11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78DD578D" w14:textId="77777777"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5E74B8C1" w14:textId="77777777" w:rsidR="00AA1A9C" w:rsidRDefault="005C7A11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46B"/>
    <w:multiLevelType w:val="multilevel"/>
    <w:tmpl w:val="58565C7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40988"/>
    <w:multiLevelType w:val="multilevel"/>
    <w:tmpl w:val="A606A484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8355E"/>
    <w:multiLevelType w:val="multilevel"/>
    <w:tmpl w:val="0B6C9394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4" w15:restartNumberingAfterBreak="0">
    <w:nsid w:val="46F57953"/>
    <w:multiLevelType w:val="multilevel"/>
    <w:tmpl w:val="887A2D24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9C"/>
    <w:rsid w:val="00093D8D"/>
    <w:rsid w:val="000C741F"/>
    <w:rsid w:val="000D1EE8"/>
    <w:rsid w:val="00104BF7"/>
    <w:rsid w:val="001207BE"/>
    <w:rsid w:val="001534CB"/>
    <w:rsid w:val="00161977"/>
    <w:rsid w:val="00176C46"/>
    <w:rsid w:val="0018459D"/>
    <w:rsid w:val="001D4E59"/>
    <w:rsid w:val="001E5E76"/>
    <w:rsid w:val="002C4F3F"/>
    <w:rsid w:val="00300836"/>
    <w:rsid w:val="003479A2"/>
    <w:rsid w:val="00366EA0"/>
    <w:rsid w:val="003A2D6D"/>
    <w:rsid w:val="004A6935"/>
    <w:rsid w:val="00525122"/>
    <w:rsid w:val="00560F6D"/>
    <w:rsid w:val="005C7A11"/>
    <w:rsid w:val="006613C1"/>
    <w:rsid w:val="006969FD"/>
    <w:rsid w:val="007B58F1"/>
    <w:rsid w:val="007F762D"/>
    <w:rsid w:val="008A4783"/>
    <w:rsid w:val="008E3D4E"/>
    <w:rsid w:val="00937D06"/>
    <w:rsid w:val="009A3B26"/>
    <w:rsid w:val="00AA1A9C"/>
    <w:rsid w:val="00AB3CFF"/>
    <w:rsid w:val="00AB4CAA"/>
    <w:rsid w:val="00B40F39"/>
    <w:rsid w:val="00B63BC3"/>
    <w:rsid w:val="00BB5FAD"/>
    <w:rsid w:val="00C42D1B"/>
    <w:rsid w:val="00DD054B"/>
    <w:rsid w:val="00DD697E"/>
    <w:rsid w:val="00DF521D"/>
    <w:rsid w:val="00E073DD"/>
    <w:rsid w:val="00E240BA"/>
    <w:rsid w:val="00EE75F4"/>
    <w:rsid w:val="00F22026"/>
    <w:rsid w:val="00F51CBA"/>
    <w:rsid w:val="00F611A8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523C"/>
  <w15:docId w15:val="{3C7E7A91-04F0-4EAF-876D-A211D666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rPr>
      <w:sz w:val="16"/>
      <w:szCs w:val="16"/>
    </w:rPr>
  </w:style>
  <w:style w:type="paragraph" w:styleId="Testocommento">
    <w:name w:val="annotation text"/>
    <w:basedOn w:val="Normale"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  <w:style w:type="character" w:styleId="Collegamentovisitato">
    <w:name w:val="FollowedHyperlink"/>
    <w:uiPriority w:val="99"/>
    <w:semiHidden/>
    <w:unhideWhenUsed/>
    <w:rsid w:val="00FE7B0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quambiente.it/wp/?page_id=21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une.cuneo.it/fileadmin/comune_cuneo/content/amm_organiz/Amministrazione_trasparente/nomine_sindaco_e_consiglio/Privacy_DPO/informative/Appalt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7054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http://www.acquambiente.it/wp/?page_id=2109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keywords/>
  <cp:lastModifiedBy>Mattio Chiara</cp:lastModifiedBy>
  <cp:revision>14</cp:revision>
  <cp:lastPrinted>2014-07-11T06:30:00Z</cp:lastPrinted>
  <dcterms:created xsi:type="dcterms:W3CDTF">2020-10-08T12:31:00Z</dcterms:created>
  <dcterms:modified xsi:type="dcterms:W3CDTF">2022-08-25T10:05:00Z</dcterms:modified>
</cp:coreProperties>
</file>