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7AB35F58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</w:t>
      </w:r>
      <w:r w:rsidR="001540A1">
        <w:rPr>
          <w:rFonts w:ascii="Franklin Gothic Medium Cond" w:hAnsi="Franklin Gothic Medium Cond"/>
          <w:sz w:val="24"/>
        </w:rPr>
        <w:t>lo di domanda di partecipazione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181D55FB" w14:textId="08E77210" w:rsidR="006309B3" w:rsidRDefault="00397880" w:rsidP="0039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24"/>
        </w:rPr>
      </w:pPr>
      <w:r>
        <w:rPr>
          <w:sz w:val="36"/>
          <w:szCs w:val="36"/>
        </w:rPr>
        <w:t xml:space="preserve">Avviso </w:t>
      </w:r>
      <w:r w:rsidRPr="00817728">
        <w:rPr>
          <w:sz w:val="36"/>
          <w:szCs w:val="36"/>
        </w:rPr>
        <w:t>pubblico per la co-progettazion</w:t>
      </w:r>
      <w:r w:rsidR="00C15D04">
        <w:rPr>
          <w:sz w:val="36"/>
          <w:szCs w:val="36"/>
        </w:rPr>
        <w:t>e e successiva gestione con il Comune di C</w:t>
      </w:r>
      <w:bookmarkStart w:id="0" w:name="_GoBack"/>
      <w:bookmarkEnd w:id="0"/>
      <w:r w:rsidRPr="00817728">
        <w:rPr>
          <w:sz w:val="36"/>
          <w:szCs w:val="36"/>
        </w:rPr>
        <w:t xml:space="preserve">uneo delle attività previste nell’ambito del servizio rivolto alle persone di origine straniera </w:t>
      </w:r>
      <w:r>
        <w:rPr>
          <w:sz w:val="36"/>
          <w:szCs w:val="36"/>
        </w:rPr>
        <w:t>[</w:t>
      </w:r>
      <w:r w:rsidRPr="00E0433D">
        <w:rPr>
          <w:sz w:val="36"/>
          <w:szCs w:val="36"/>
        </w:rPr>
        <w:t>CIG</w:t>
      </w:r>
      <w:r>
        <w:rPr>
          <w:sz w:val="36"/>
          <w:szCs w:val="36"/>
        </w:rPr>
        <w:t xml:space="preserve"> </w:t>
      </w:r>
      <w:r w:rsidRPr="00D96210">
        <w:rPr>
          <w:sz w:val="36"/>
          <w:szCs w:val="36"/>
        </w:rPr>
        <w:t>853629015B</w:t>
      </w:r>
      <w:r>
        <w:rPr>
          <w:sz w:val="36"/>
          <w:szCs w:val="36"/>
        </w:rPr>
        <w:t>]</w:t>
      </w:r>
    </w:p>
    <w:p w14:paraId="00EF75E8" w14:textId="77777777" w:rsidR="006309B3" w:rsidRDefault="006309B3">
      <w:pPr>
        <w:pStyle w:val="CSAArticolo"/>
      </w:pPr>
    </w:p>
    <w:p w14:paraId="09BD0230" w14:textId="0D61EDE1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>nato/a a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04234DD6" w:rsidR="00E24804" w:rsidRDefault="004F2348" w:rsidP="006309B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6309B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E24804" w14:paraId="7676786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70A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9406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4A8F082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F98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8D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1C537C2A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1D79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A757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49CF1CA4" w14:textId="52C99C0E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1B74ADEA" w14:textId="77777777" w:rsidR="00E400BB" w:rsidRDefault="00E400BB" w:rsidP="00E400BB">
      <w:pPr>
        <w:pStyle w:val="CSAArticolo"/>
        <w:spacing w:before="120" w:after="240"/>
        <w:ind w:left="567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Default="00F74FBC" w:rsidP="00F74F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F74FBC" w14:paraId="17347588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3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E37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877" w14:textId="77777777" w:rsidR="00F74FBC" w:rsidRDefault="00F74FBC" w:rsidP="00F74FB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4CB35799" w14:textId="77777777" w:rsidR="00F74FBC" w:rsidRDefault="00F74FBC" w:rsidP="00F74FB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F74FBC" w14:paraId="6368A3F6" w14:textId="77777777" w:rsidTr="00C54A4E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99ED" w14:textId="3FB1BB14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9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09C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6B6B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</w:t>
            </w:r>
            <w:r>
              <w:rPr>
                <w:sz w:val="24"/>
                <w:szCs w:val="24"/>
              </w:rPr>
              <w:lastRenderedPageBreak/>
              <w:t>adeguatamente motivata e comprovata ai sensi dell’art. 53, comma 5, lett. a),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Default="00F74FBC" w:rsidP="00F74FBC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dell’articolo 13 del decreto legislativo 30 giugno 2003, n. 196 s.m.i.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14:paraId="7093CA25" w14:textId="651B4D2A" w:rsidR="00F74FBC" w:rsidRDefault="00F74FBC" w:rsidP="00F74FB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  <w:r w:rsidR="00C85617">
              <w:rPr>
                <w:sz w:val="24"/>
                <w:szCs w:val="24"/>
              </w:rPr>
              <w:t>;</w:t>
            </w:r>
          </w:p>
        </w:tc>
      </w:tr>
      <w:tr w:rsidR="00F74FBC" w14:paraId="5471A12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A9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3171" w14:textId="160C152C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A64E" w14:textId="08E8C6B2" w:rsidR="00F74FBC" w:rsidRDefault="00F74FBC" w:rsidP="006309B3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di essere i</w:t>
            </w:r>
            <w:r w:rsidRPr="00B74FC6">
              <w:rPr>
                <w:sz w:val="24"/>
              </w:rPr>
              <w:t>scri</w:t>
            </w:r>
            <w:r>
              <w:rPr>
                <w:sz w:val="24"/>
              </w:rPr>
              <w:t xml:space="preserve">tto </w:t>
            </w:r>
            <w:r w:rsidRPr="00B74FC6">
              <w:rPr>
                <w:sz w:val="24"/>
              </w:rPr>
              <w:t>al registro delle Imprese presso la competente Camera di Commercio, Industria, Artigianato e Agricoltura [C.C.I.A.A.] per un’attività imprenditoriale ricomprendente il servizio oggetto dell’appalto</w:t>
            </w:r>
            <w:r w:rsidR="006309B3">
              <w:rPr>
                <w:sz w:val="24"/>
              </w:rPr>
              <w:t xml:space="preserve"> </w:t>
            </w:r>
            <w:r w:rsidR="006309B3" w:rsidRPr="006309B3">
              <w:rPr>
                <w:sz w:val="24"/>
              </w:rPr>
              <w:t>ovvero altri albi previsti dalla normativa vigente in considerazione della natura giuridica del soggetto concorrente, secondo le indicazioni contenute nel disciplinare di gara</w:t>
            </w:r>
            <w:r w:rsidR="006309B3">
              <w:rPr>
                <w:sz w:val="24"/>
              </w:rPr>
              <w:t>. S</w:t>
            </w:r>
            <w:r w:rsidRPr="00B74FC6">
              <w:rPr>
                <w:sz w:val="24"/>
              </w:rPr>
              <w:t xml:space="preserve">e cittadino di altro Stato membro non residente in Italia, iscrizione presso uno dei registri professionali o commerciali di </w:t>
            </w:r>
            <w:r>
              <w:rPr>
                <w:sz w:val="24"/>
              </w:rPr>
              <w:t>cui all’Allegato XVI del Codice</w:t>
            </w:r>
            <w:r w:rsidRPr="00B74FC6">
              <w:rPr>
                <w:sz w:val="24"/>
              </w:rPr>
              <w:t>;</w:t>
            </w:r>
          </w:p>
        </w:tc>
      </w:tr>
      <w:tr w:rsidR="00397880" w14:paraId="62EC177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0898" w14:textId="77777777" w:rsidR="00397880" w:rsidRDefault="00397880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7C2B" w14:textId="767667F1" w:rsidR="00397880" w:rsidRDefault="00397880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6C5E" w14:textId="750C72E4" w:rsidR="00397880" w:rsidRDefault="00397880" w:rsidP="00397880">
            <w:pPr>
              <w:pStyle w:val="CorpoTesto0"/>
            </w:pPr>
            <w:r w:rsidRPr="00FE1FCF">
              <w:rPr>
                <w:color w:val="auto"/>
                <w:szCs w:val="24"/>
                <w:lang w:val="it-IT"/>
              </w:rPr>
              <w:t>(in caso di cooperative) Iscrizione all’Albo delle Società Cooperative presso il Ministero dello Sviluppo Economico a cura della Camera di Commercio, e se cooperative sociali, iscrizione all’Albo Regionale delle cooperative sociali ex art. 9 della L. 381/1991 con uno scopo sociale compatibile con le attività oggetto dell’a</w:t>
            </w:r>
            <w:r>
              <w:rPr>
                <w:color w:val="auto"/>
                <w:szCs w:val="24"/>
                <w:lang w:val="it-IT"/>
              </w:rPr>
              <w:t>vviso</w:t>
            </w:r>
          </w:p>
        </w:tc>
      </w:tr>
      <w:tr w:rsidR="00397880" w14:paraId="7782761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3D65" w14:textId="77777777" w:rsidR="00397880" w:rsidRDefault="00397880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03AA" w14:textId="377E7233" w:rsidR="00397880" w:rsidRDefault="00397880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5E89" w14:textId="6D1A31DD" w:rsidR="00397880" w:rsidRDefault="00397880" w:rsidP="00397880">
            <w:pPr>
              <w:pStyle w:val="CorpoTesto0"/>
            </w:pPr>
            <w:r w:rsidRPr="00FE1FCF">
              <w:rPr>
                <w:color w:val="auto"/>
                <w:szCs w:val="24"/>
                <w:lang w:val="it-IT"/>
              </w:rPr>
              <w:t>(in caso di associazioni/organizzazioni di volontariato): iscrizione da almeno 6 mesi in uno degli Albi previsti dalla legge unitamente alla previsione, nello Statuto e/o nell’atto costitutivo, della possibilità di svolgere le attività coerenti con quelle oggetto d</w:t>
            </w:r>
            <w:r>
              <w:rPr>
                <w:color w:val="auto"/>
                <w:szCs w:val="24"/>
                <w:lang w:val="it-IT"/>
              </w:rPr>
              <w:t>ella presente procedura di gara</w:t>
            </w:r>
          </w:p>
        </w:tc>
      </w:tr>
      <w:tr w:rsidR="00397880" w14:paraId="059BC73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8026" w14:textId="77777777" w:rsidR="00397880" w:rsidRDefault="00397880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DDDE" w14:textId="08EFECDE" w:rsidR="00397880" w:rsidRDefault="00397880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39A1" w14:textId="6EFC1C3D" w:rsidR="00397880" w:rsidRDefault="00397880" w:rsidP="00397880">
            <w:pPr>
              <w:pStyle w:val="CorpoTesto0"/>
              <w:spacing w:after="120" w:line="240" w:lineRule="auto"/>
            </w:pPr>
            <w:r>
              <w:rPr>
                <w:color w:val="auto"/>
                <w:szCs w:val="24"/>
                <w:lang w:val="it-IT"/>
              </w:rPr>
              <w:t>(</w:t>
            </w:r>
            <w:r w:rsidRPr="00FE1FCF">
              <w:rPr>
                <w:color w:val="auto"/>
                <w:szCs w:val="24"/>
                <w:lang w:val="it-IT"/>
              </w:rPr>
              <w:t>per gli altri soggetti senza scopo di lucro</w:t>
            </w:r>
            <w:r>
              <w:rPr>
                <w:color w:val="auto"/>
                <w:szCs w:val="24"/>
                <w:lang w:val="it-IT"/>
              </w:rPr>
              <w:t>)</w:t>
            </w:r>
            <w:r w:rsidRPr="00FE1FCF">
              <w:rPr>
                <w:color w:val="auto"/>
                <w:szCs w:val="24"/>
                <w:lang w:val="it-IT"/>
              </w:rPr>
              <w:t>: compatibilità della forma giuridica e dello scopo sociale riportati nello statuto e/o nell’atto costitutivo con le attività oggetto della presente procedura di gara.</w:t>
            </w:r>
          </w:p>
        </w:tc>
      </w:tr>
      <w:tr w:rsidR="00C85617" w14:paraId="7D51F71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F02A" w14:textId="77777777" w:rsidR="00C85617" w:rsidRDefault="00C85617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3C39" w14:textId="1B3AB6EE" w:rsidR="00C85617" w:rsidRDefault="00C85617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33B1" w14:textId="1D085FB8" w:rsidR="00C85617" w:rsidRDefault="00C85617" w:rsidP="00CD6EA7">
            <w:pPr>
              <w:keepNext/>
              <w:spacing w:before="60" w:after="60"/>
              <w:jc w:val="both"/>
              <w:rPr>
                <w:sz w:val="24"/>
              </w:rPr>
            </w:pPr>
            <w:r w:rsidRPr="00F74FBC">
              <w:rPr>
                <w:sz w:val="24"/>
                <w:szCs w:val="24"/>
              </w:rPr>
              <w:t>di essere in possesso dei</w:t>
            </w:r>
            <w:r w:rsidR="00397880">
              <w:rPr>
                <w:sz w:val="24"/>
                <w:szCs w:val="24"/>
              </w:rPr>
              <w:t xml:space="preserve"> requisiti di cui all’articolo 3.</w:t>
            </w:r>
            <w:r w:rsidR="00CD6EA7">
              <w:rPr>
                <w:sz w:val="24"/>
                <w:szCs w:val="24"/>
              </w:rPr>
              <w:t>2</w:t>
            </w:r>
            <w:r w:rsidRPr="00F74FBC">
              <w:rPr>
                <w:sz w:val="24"/>
                <w:szCs w:val="24"/>
              </w:rPr>
              <w:t xml:space="preserve"> “</w:t>
            </w:r>
            <w:r w:rsidRPr="00422442">
              <w:rPr>
                <w:i/>
                <w:sz w:val="24"/>
                <w:szCs w:val="22"/>
                <w:lang w:eastAsia="en-US"/>
              </w:rPr>
              <w:t>Requisiti di capacità economica e finanziaria</w:t>
            </w:r>
            <w:r w:rsidRPr="00F74FBC">
              <w:rPr>
                <w:sz w:val="24"/>
                <w:szCs w:val="22"/>
                <w:lang w:eastAsia="en-US"/>
              </w:rPr>
              <w:t>”</w:t>
            </w:r>
            <w:r w:rsidRPr="00F74FBC">
              <w:rPr>
                <w:sz w:val="24"/>
                <w:szCs w:val="24"/>
              </w:rPr>
              <w:t xml:space="preserve"> del disciplinare di gara meglio indicati nel modello DGUE di cui </w:t>
            </w:r>
            <w:r>
              <w:rPr>
                <w:sz w:val="24"/>
                <w:szCs w:val="24"/>
              </w:rPr>
              <w:t>alla presente procedura di gara;</w:t>
            </w:r>
          </w:p>
        </w:tc>
      </w:tr>
      <w:tr w:rsidR="00C85617" w14:paraId="512B508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7199" w14:textId="77777777" w:rsidR="00C85617" w:rsidRDefault="00C85617" w:rsidP="00C8561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D279" w14:textId="67C197A3" w:rsidR="00C85617" w:rsidRDefault="00C85617" w:rsidP="00C8561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4845" w14:textId="3630BF7C" w:rsidR="00C85617" w:rsidRPr="00E400BB" w:rsidRDefault="00C85617" w:rsidP="00397880">
            <w:pPr>
              <w:keepNext/>
              <w:spacing w:before="60" w:after="60"/>
              <w:jc w:val="both"/>
              <w:rPr>
                <w:sz w:val="24"/>
                <w:highlight w:val="yellow"/>
              </w:rPr>
            </w:pPr>
            <w:r w:rsidRPr="00F74FBC">
              <w:rPr>
                <w:sz w:val="24"/>
                <w:szCs w:val="24"/>
              </w:rPr>
              <w:t>di essere in possesso dei requisiti di cui all’articolo 3</w:t>
            </w:r>
            <w:r w:rsidR="00CD6EA7">
              <w:rPr>
                <w:sz w:val="24"/>
                <w:szCs w:val="24"/>
              </w:rPr>
              <w:t>.2</w:t>
            </w:r>
            <w:r w:rsidR="00397880">
              <w:rPr>
                <w:sz w:val="24"/>
                <w:szCs w:val="24"/>
              </w:rPr>
              <w:t xml:space="preserve"> </w:t>
            </w:r>
            <w:r w:rsidRPr="00F74FBC">
              <w:rPr>
                <w:sz w:val="24"/>
                <w:szCs w:val="24"/>
              </w:rPr>
              <w:t xml:space="preserve"> “</w:t>
            </w:r>
            <w:r w:rsidRPr="00422442">
              <w:rPr>
                <w:i/>
                <w:sz w:val="24"/>
                <w:szCs w:val="24"/>
              </w:rPr>
              <w:t>Requisiti di capacità tecnica e professionale</w:t>
            </w:r>
            <w:r w:rsidRPr="00F74FBC">
              <w:rPr>
                <w:sz w:val="24"/>
                <w:szCs w:val="24"/>
              </w:rPr>
              <w:t xml:space="preserve">” del disciplinare di gara meglio indicati nel modello DGUE di cui </w:t>
            </w:r>
            <w:r>
              <w:rPr>
                <w:sz w:val="24"/>
                <w:szCs w:val="24"/>
              </w:rPr>
              <w:t>alla presente procedura di gara.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Fonts w:eastAsia="Calibri"/>
            <w:color w:val="0563C1"/>
            <w:sz w:val="24"/>
            <w:szCs w:val="24"/>
            <w:u w:val="single"/>
            <w:lang w:eastAsia="en-US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12EC9"/>
    <w:multiLevelType w:val="hybridMultilevel"/>
    <w:tmpl w:val="097E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63772"/>
    <w:rsid w:val="00120D2E"/>
    <w:rsid w:val="001540A1"/>
    <w:rsid w:val="001857A8"/>
    <w:rsid w:val="001E6354"/>
    <w:rsid w:val="00397880"/>
    <w:rsid w:val="004108FD"/>
    <w:rsid w:val="00422442"/>
    <w:rsid w:val="004F2348"/>
    <w:rsid w:val="00510D8B"/>
    <w:rsid w:val="00552EBC"/>
    <w:rsid w:val="00580711"/>
    <w:rsid w:val="00590C1A"/>
    <w:rsid w:val="006309B3"/>
    <w:rsid w:val="007361B8"/>
    <w:rsid w:val="007A5E57"/>
    <w:rsid w:val="00870313"/>
    <w:rsid w:val="009013C2"/>
    <w:rsid w:val="00905DF5"/>
    <w:rsid w:val="00A80860"/>
    <w:rsid w:val="00AE5D67"/>
    <w:rsid w:val="00B47A57"/>
    <w:rsid w:val="00B74BCC"/>
    <w:rsid w:val="00B74FC6"/>
    <w:rsid w:val="00BA47D5"/>
    <w:rsid w:val="00C15D04"/>
    <w:rsid w:val="00C85617"/>
    <w:rsid w:val="00CD6EA7"/>
    <w:rsid w:val="00D04A3A"/>
    <w:rsid w:val="00E24804"/>
    <w:rsid w:val="00E400BB"/>
    <w:rsid w:val="00E426B1"/>
    <w:rsid w:val="00E52781"/>
    <w:rsid w:val="00ED3F33"/>
    <w:rsid w:val="00F55176"/>
    <w:rsid w:val="00F63192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paragraph" w:customStyle="1" w:styleId="CorpoTesto0">
    <w:name w:val="CorpoTesto"/>
    <w:rsid w:val="0039788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N/>
      <w:spacing w:line="288" w:lineRule="atLeast"/>
      <w:jc w:val="both"/>
      <w:textAlignment w:val="auto"/>
    </w:pPr>
    <w:rPr>
      <w:snapToGrid w:val="0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Gerbaldo Stefania</cp:lastModifiedBy>
  <cp:revision>31</cp:revision>
  <cp:lastPrinted>2014-07-11T06:30:00Z</cp:lastPrinted>
  <dcterms:created xsi:type="dcterms:W3CDTF">2019-05-24T06:38:00Z</dcterms:created>
  <dcterms:modified xsi:type="dcterms:W3CDTF">2021-01-29T10:38:00Z</dcterms:modified>
</cp:coreProperties>
</file>