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181D55FB" w14:textId="3DF2896E" w:rsidR="006309B3" w:rsidRDefault="006309B3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6309B3">
        <w:rPr>
          <w:sz w:val="36"/>
          <w:szCs w:val="24"/>
        </w:rPr>
        <w:t>Gara europea a procedura aperta per l’affidamento del sistema di protezione per rifugiati e minori stranieri non accompagnati e l’affidamento della gestione del progetto per la prosecuzione di n. 265 posti di accoglienza per il periodo 1°gennaio 2021 – 31 dicembre 2023 [CIG 85121608A4 – CUP B29G20000960001]</w:t>
      </w:r>
    </w:p>
    <w:p w14:paraId="00EF75E8" w14:textId="77777777" w:rsidR="006309B3" w:rsidRDefault="006309B3">
      <w:pPr>
        <w:pStyle w:val="CSAArticolo"/>
      </w:pPr>
    </w:p>
    <w:p w14:paraId="09BD0230" w14:textId="0D61EDE1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04234DD6" w:rsidR="00E24804" w:rsidRDefault="004F2348" w:rsidP="006309B3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6309B3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E24804" w14:paraId="76767867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70A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lastRenderedPageBreak/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9406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4A8F082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F98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8D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1C537C2A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1D7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A757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49CF1CA4" w14:textId="52C99C0E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1B74ADEA" w14:textId="77777777" w:rsidR="00E400BB" w:rsidRDefault="00E400BB" w:rsidP="00E400BB">
      <w:pPr>
        <w:pStyle w:val="CSAArticolo"/>
        <w:spacing w:before="120" w:after="240"/>
        <w:ind w:left="567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 w:rsidR="00552EBC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>
              <w:rPr>
                <w:sz w:val="24"/>
                <w:szCs w:val="24"/>
              </w:rPr>
              <w:t>d.p.r.</w:t>
            </w:r>
            <w:proofErr w:type="spellEnd"/>
            <w:r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F74FBC" w:rsidRDefault="00F74FBC" w:rsidP="00F74F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F74FBC" w14:paraId="17347588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A3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FE37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877" w14:textId="77777777" w:rsidR="00F74FBC" w:rsidRDefault="00F74FBC" w:rsidP="00F74FBC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4CB35799" w14:textId="77777777" w:rsidR="00F74FBC" w:rsidRDefault="00F74FBC" w:rsidP="00F74FBC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F74FBC" w14:paraId="6368A3F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99ED" w14:textId="3FB1BB14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9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09C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6B6B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</w:t>
            </w:r>
            <w:r>
              <w:rPr>
                <w:sz w:val="24"/>
                <w:szCs w:val="24"/>
              </w:rPr>
              <w:lastRenderedPageBreak/>
              <w:t xml:space="preserve">saranno eventualmente richieste in sede di verifica delle offerte anomale, in quanto coperte da segreto tecnico/commerciale. Tale dichiarazione dovrà essere adeguatamente motivata e comprovata ai sensi dell’art. 53, comma 5,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>. a),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EAF735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14:paraId="7093CA25" w14:textId="651B4D2A" w:rsidR="00F74FBC" w:rsidRDefault="00F74FBC" w:rsidP="00F74FBC">
            <w:pPr>
              <w:spacing w:before="60" w:after="60"/>
              <w:jc w:val="both"/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>R.D. 16 marzo 1942, n. 267 s.m.i.</w:t>
            </w:r>
            <w:r w:rsidR="00C85617">
              <w:rPr>
                <w:sz w:val="24"/>
                <w:szCs w:val="24"/>
              </w:rPr>
              <w:t>;</w:t>
            </w:r>
          </w:p>
        </w:tc>
      </w:tr>
      <w:tr w:rsidR="00F74FBC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08E8C6B2" w:rsidR="00F74FBC" w:rsidRDefault="00F74FBC" w:rsidP="006309B3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di essere i</w:t>
            </w:r>
            <w:r w:rsidRPr="00B74FC6">
              <w:rPr>
                <w:sz w:val="24"/>
              </w:rPr>
              <w:t>scri</w:t>
            </w:r>
            <w:r>
              <w:rPr>
                <w:sz w:val="24"/>
              </w:rPr>
              <w:t xml:space="preserve">tto </w:t>
            </w:r>
            <w:r w:rsidRPr="00B74FC6">
              <w:rPr>
                <w:sz w:val="24"/>
              </w:rPr>
              <w:t>al registro delle Imprese presso la competente Camera di Commercio, Industria, Artigianato e Agricoltura [C.C.I.A.A.] per un’attività imprenditoriale ricomprendente il servizio oggetto dell’appalto</w:t>
            </w:r>
            <w:r w:rsidR="006309B3">
              <w:rPr>
                <w:sz w:val="24"/>
              </w:rPr>
              <w:t xml:space="preserve"> </w:t>
            </w:r>
            <w:r w:rsidR="006309B3" w:rsidRPr="006309B3">
              <w:rPr>
                <w:sz w:val="24"/>
              </w:rPr>
              <w:t>ovvero altri albi previsti dalla normativa vigente in considerazione della natura giuridica del soggetto concorrente, secondo le indicazioni contenute nel disciplinare di gara</w:t>
            </w:r>
            <w:r w:rsidR="006309B3">
              <w:rPr>
                <w:sz w:val="24"/>
              </w:rPr>
              <w:t>. S</w:t>
            </w:r>
            <w:r w:rsidRPr="00B74FC6">
              <w:rPr>
                <w:sz w:val="24"/>
              </w:rPr>
              <w:t xml:space="preserve">e cittadino di altro Stato membro non residente in Italia, iscrizione presso uno dei registri professionali o commerciali di </w:t>
            </w:r>
            <w:r>
              <w:rPr>
                <w:sz w:val="24"/>
              </w:rPr>
              <w:t>cui all’Allegato XVI del Codice</w:t>
            </w:r>
            <w:r w:rsidRPr="00B74FC6">
              <w:rPr>
                <w:sz w:val="24"/>
              </w:rPr>
              <w:t>;</w:t>
            </w:r>
          </w:p>
        </w:tc>
      </w:tr>
      <w:tr w:rsidR="00C85617" w14:paraId="7D51F71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F02A" w14:textId="77777777" w:rsidR="00C85617" w:rsidRDefault="00C85617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3C39" w14:textId="1B3AB6EE" w:rsidR="00C85617" w:rsidRDefault="00C85617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33B1" w14:textId="483E1A90" w:rsidR="00C85617" w:rsidRDefault="00C85617" w:rsidP="00C85617">
            <w:pPr>
              <w:keepNext/>
              <w:spacing w:before="60" w:after="60"/>
              <w:jc w:val="both"/>
              <w:rPr>
                <w:sz w:val="24"/>
              </w:rPr>
            </w:pPr>
            <w:r w:rsidRPr="00F74FBC">
              <w:rPr>
                <w:sz w:val="24"/>
                <w:szCs w:val="24"/>
              </w:rPr>
              <w:t>di essere in possesso dei requisiti di cui all’articolo 7, punto 7.2 “</w:t>
            </w:r>
            <w:r w:rsidRPr="00422442">
              <w:rPr>
                <w:i/>
                <w:sz w:val="24"/>
                <w:szCs w:val="22"/>
                <w:lang w:eastAsia="en-US"/>
              </w:rPr>
              <w:t>Requisiti di capacità economica e finanziaria</w:t>
            </w:r>
            <w:r w:rsidRPr="00F74FBC">
              <w:rPr>
                <w:sz w:val="24"/>
                <w:szCs w:val="22"/>
                <w:lang w:eastAsia="en-US"/>
              </w:rPr>
              <w:t>”</w:t>
            </w:r>
            <w:r w:rsidRPr="00F74FBC">
              <w:rPr>
                <w:sz w:val="24"/>
                <w:szCs w:val="24"/>
              </w:rPr>
              <w:t xml:space="preserve"> del disciplinare di gara meglio indicati nel modello DGUE di cui </w:t>
            </w:r>
            <w:r>
              <w:rPr>
                <w:sz w:val="24"/>
                <w:szCs w:val="24"/>
              </w:rPr>
              <w:t>alla presente procedura di gara</w:t>
            </w:r>
            <w:r>
              <w:rPr>
                <w:sz w:val="24"/>
                <w:szCs w:val="24"/>
              </w:rPr>
              <w:t>;</w:t>
            </w:r>
            <w:bookmarkStart w:id="2" w:name="_GoBack"/>
            <w:bookmarkEnd w:id="2"/>
          </w:p>
        </w:tc>
      </w:tr>
      <w:tr w:rsidR="00C85617" w14:paraId="512B508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7199" w14:textId="77777777" w:rsidR="00C85617" w:rsidRDefault="00C85617" w:rsidP="00C8561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D279" w14:textId="67C197A3" w:rsidR="00C85617" w:rsidRDefault="00C85617" w:rsidP="00C8561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4845" w14:textId="0F37D761" w:rsidR="00C85617" w:rsidRPr="00E400BB" w:rsidRDefault="00C85617" w:rsidP="00C85617">
            <w:pPr>
              <w:keepNext/>
              <w:spacing w:before="60" w:after="60"/>
              <w:jc w:val="both"/>
              <w:rPr>
                <w:sz w:val="24"/>
                <w:highlight w:val="yellow"/>
              </w:rPr>
            </w:pPr>
            <w:r w:rsidRPr="00F74FBC">
              <w:rPr>
                <w:sz w:val="24"/>
                <w:szCs w:val="24"/>
              </w:rPr>
              <w:t>di essere in possesso dei requisiti di cui all’articolo 7, punto 7.3 “</w:t>
            </w:r>
            <w:r w:rsidRPr="00422442">
              <w:rPr>
                <w:i/>
                <w:sz w:val="24"/>
                <w:szCs w:val="24"/>
              </w:rPr>
              <w:t>Requisiti di capacità tecnica e professionale</w:t>
            </w:r>
            <w:r w:rsidRPr="00F74FBC">
              <w:rPr>
                <w:sz w:val="24"/>
                <w:szCs w:val="24"/>
              </w:rPr>
              <w:t xml:space="preserve">” del disciplinare di gara meglio indicati nel modello DGUE di cui </w:t>
            </w:r>
            <w:r>
              <w:rPr>
                <w:sz w:val="24"/>
                <w:szCs w:val="24"/>
              </w:rPr>
              <w:t>alla presente procedura di gara.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120D2E"/>
    <w:rsid w:val="001540A1"/>
    <w:rsid w:val="001857A8"/>
    <w:rsid w:val="001E6354"/>
    <w:rsid w:val="004108FD"/>
    <w:rsid w:val="00422442"/>
    <w:rsid w:val="004F2348"/>
    <w:rsid w:val="00510D8B"/>
    <w:rsid w:val="00552EBC"/>
    <w:rsid w:val="00580711"/>
    <w:rsid w:val="00590C1A"/>
    <w:rsid w:val="006309B3"/>
    <w:rsid w:val="007361B8"/>
    <w:rsid w:val="007A5E57"/>
    <w:rsid w:val="00870313"/>
    <w:rsid w:val="009013C2"/>
    <w:rsid w:val="00905DF5"/>
    <w:rsid w:val="00A80860"/>
    <w:rsid w:val="00AE5D67"/>
    <w:rsid w:val="00B47A57"/>
    <w:rsid w:val="00B74BCC"/>
    <w:rsid w:val="00B74FC6"/>
    <w:rsid w:val="00BA47D5"/>
    <w:rsid w:val="00C85617"/>
    <w:rsid w:val="00D04A3A"/>
    <w:rsid w:val="00E24804"/>
    <w:rsid w:val="00E400BB"/>
    <w:rsid w:val="00E426B1"/>
    <w:rsid w:val="00E52781"/>
    <w:rsid w:val="00ED3F33"/>
    <w:rsid w:val="00F55176"/>
    <w:rsid w:val="00F63192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Armando Stefano</cp:lastModifiedBy>
  <cp:revision>28</cp:revision>
  <cp:lastPrinted>2014-07-11T06:30:00Z</cp:lastPrinted>
  <dcterms:created xsi:type="dcterms:W3CDTF">2019-05-24T06:38:00Z</dcterms:created>
  <dcterms:modified xsi:type="dcterms:W3CDTF">2020-11-24T20:49:00Z</dcterms:modified>
</cp:coreProperties>
</file>