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54B8FB77" w14:textId="0FFF7EE0" w:rsidR="00F363C9" w:rsidRDefault="007A75D8">
      <w:pPr>
        <w:pStyle w:val="Default"/>
        <w:ind w:left="1080" w:hanging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Affidamento del </w:t>
      </w:r>
      <w:r w:rsidR="00F363C9">
        <w:rPr>
          <w:rFonts w:ascii="Times New Roman" w:hAnsi="Times New Roman" w:cs="Times New Roman"/>
          <w:b/>
        </w:rPr>
        <w:t>s</w:t>
      </w:r>
      <w:r w:rsidR="00F363C9" w:rsidRPr="00F363C9">
        <w:rPr>
          <w:rFonts w:ascii="Times New Roman" w:hAnsi="Times New Roman" w:cs="Times New Roman"/>
          <w:b/>
        </w:rPr>
        <w:t xml:space="preserve">ervizio </w:t>
      </w:r>
      <w:r w:rsidR="002C516F" w:rsidRPr="002C516F">
        <w:rPr>
          <w:rFonts w:ascii="Times New Roman" w:hAnsi="Times New Roman" w:cs="Times New Roman"/>
          <w:b/>
        </w:rPr>
        <w:t>per il trattamento e il recapito al destinatario della corrispondenza del Comune di Cuneo</w:t>
      </w:r>
      <w:r w:rsidR="00F363C9">
        <w:rPr>
          <w:rFonts w:ascii="Times New Roman" w:hAnsi="Times New Roman" w:cs="Times New Roman"/>
          <w:b/>
        </w:rPr>
        <w:t>.</w:t>
      </w:r>
    </w:p>
    <w:p w14:paraId="5F36C4A6" w14:textId="77777777" w:rsidR="00F363C9" w:rsidRDefault="00F363C9">
      <w:pPr>
        <w:pStyle w:val="Default"/>
        <w:ind w:left="1080" w:hanging="1080"/>
        <w:jc w:val="both"/>
        <w:rPr>
          <w:rFonts w:ascii="Times New Roman" w:hAnsi="Times New Roman" w:cs="Times New Roman"/>
          <w:b/>
        </w:rPr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lastRenderedPageBreak/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7D2418DE" w:rsidR="00CA0CF6" w:rsidRDefault="007A75D8" w:rsidP="00C8181A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>di essere in possesso dei requisiti di idoneità professionale</w:t>
      </w:r>
      <w:r w:rsidR="002F0EDD">
        <w:rPr>
          <w:rFonts w:cs="Symbol"/>
          <w:color w:val="000000"/>
          <w:szCs w:val="22"/>
        </w:rPr>
        <w:t xml:space="preserve"> e</w:t>
      </w:r>
      <w:r>
        <w:rPr>
          <w:rFonts w:cs="Symbol"/>
          <w:color w:val="000000"/>
          <w:szCs w:val="22"/>
        </w:rPr>
        <w:t xml:space="preserve"> </w:t>
      </w:r>
      <w:r w:rsidR="002F0EDD" w:rsidRPr="00AA6181">
        <w:t>capacità tecnica e professionale</w:t>
      </w:r>
      <w:r w:rsidR="002F0EDD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richiesti nell’avviso di indagine di mercato protocollo n. </w:t>
      </w:r>
      <w:r w:rsidR="00C8181A" w:rsidRPr="00C8181A">
        <w:rPr>
          <w:szCs w:val="22"/>
        </w:rPr>
        <w:t>15396</w:t>
      </w:r>
      <w:r w:rsidR="002C516F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2C516F">
        <w:rPr>
          <w:rFonts w:cs="Symbol"/>
          <w:color w:val="000000"/>
          <w:szCs w:val="22"/>
        </w:rPr>
        <w:t xml:space="preserve"> </w:t>
      </w:r>
      <w:r w:rsidR="00C8181A">
        <w:rPr>
          <w:rFonts w:cs="Symbol"/>
          <w:color w:val="000000"/>
          <w:szCs w:val="22"/>
        </w:rPr>
        <w:t>02</w:t>
      </w:r>
      <w:bookmarkStart w:id="1" w:name="_GoBack"/>
      <w:bookmarkEnd w:id="1"/>
      <w:r w:rsidR="006967C4">
        <w:rPr>
          <w:rFonts w:cs="Symbol"/>
          <w:color w:val="000000"/>
          <w:szCs w:val="22"/>
        </w:rPr>
        <w:t xml:space="preserve"> </w:t>
      </w:r>
      <w:r w:rsidR="00C8181A">
        <w:rPr>
          <w:rFonts w:cs="Symbol"/>
          <w:color w:val="000000"/>
          <w:szCs w:val="22"/>
        </w:rPr>
        <w:t>marzo</w:t>
      </w:r>
      <w:r w:rsidR="002C516F">
        <w:rPr>
          <w:rFonts w:cs="Symbol"/>
          <w:color w:val="000000"/>
          <w:szCs w:val="22"/>
        </w:rPr>
        <w:t xml:space="preserve"> 2020</w:t>
      </w:r>
      <w:r>
        <w:rPr>
          <w:rFonts w:cs="Symbol"/>
          <w:color w:val="000000"/>
          <w:szCs w:val="22"/>
        </w:rPr>
        <w:t xml:space="preserve"> e in particolare:</w:t>
      </w:r>
    </w:p>
    <w:p w14:paraId="161079A3" w14:textId="402017BA" w:rsidR="00CA0CF6" w:rsidRDefault="007A75D8" w:rsidP="002F0EDD">
      <w:pPr>
        <w:widowControl w:val="0"/>
        <w:numPr>
          <w:ilvl w:val="0"/>
          <w:numId w:val="2"/>
        </w:numPr>
        <w:autoSpaceDE w:val="0"/>
        <w:ind w:left="1134"/>
        <w:jc w:val="both"/>
      </w:pPr>
      <w:r>
        <w:rPr>
          <w:rFonts w:cs="Symbol"/>
          <w:color w:val="000000"/>
          <w:szCs w:val="22"/>
        </w:rPr>
        <w:t>iscrizione al registro delle Imprese presso la competente Camera di Commercio, Industria, Artigia</w:t>
      </w:r>
      <w:r w:rsidR="002C516F">
        <w:rPr>
          <w:rFonts w:cs="Symbol"/>
          <w:color w:val="000000"/>
          <w:szCs w:val="22"/>
        </w:rPr>
        <w:t xml:space="preserve">nato e Agricoltura [C.C.I.A.A.] </w:t>
      </w:r>
      <w:r>
        <w:rPr>
          <w:rFonts w:cs="Symbol"/>
          <w:color w:val="000000"/>
          <w:szCs w:val="22"/>
        </w:rPr>
        <w:t>per un’attività imprenditoriale ricomprendente il servizio oggetto dell’appalto ovvero, se cittadino di altro Stato membro non residente in Italia, iscrizione presso uno dei registri professionali o commerciali di cui all’Allegato XVI del Codice;</w:t>
      </w:r>
    </w:p>
    <w:p w14:paraId="0A1E965E" w14:textId="77777777" w:rsidR="002C516F" w:rsidRDefault="002C516F" w:rsidP="002C516F">
      <w:pPr>
        <w:widowControl w:val="0"/>
        <w:numPr>
          <w:ilvl w:val="0"/>
          <w:numId w:val="2"/>
        </w:numPr>
        <w:autoSpaceDE w:val="0"/>
        <w:ind w:left="1134"/>
        <w:jc w:val="both"/>
      </w:pPr>
      <w:r>
        <w:rPr>
          <w:rFonts w:cs="Symbol"/>
          <w:color w:val="000000"/>
          <w:szCs w:val="22"/>
        </w:rPr>
        <w:t>possesso di licenza individuale, in corso di validità, per l’offerta al pubblico di singoli servizi postali non riservati rientranti nell’ambito del servizio universale, ai sensi dell’articolo 5 del decreto legislativo 22 luglio 1999, n. 261 s.m.i. «</w:t>
      </w:r>
      <w:r>
        <w:rPr>
          <w:rFonts w:cs="Symbol"/>
          <w:i/>
          <w:color w:val="000000"/>
          <w:szCs w:val="22"/>
        </w:rPr>
        <w:t>Attuazione della direttiva 97/67/CE concernente regole comuni per lo sviluppo del mercato interno dei servizi postali comunitari e per il miglioramento della qualità del servizio</w:t>
      </w:r>
      <w:r>
        <w:rPr>
          <w:rFonts w:cs="Symbol"/>
          <w:color w:val="000000"/>
          <w:szCs w:val="22"/>
        </w:rPr>
        <w:t>» e del D.M. Ministero dello Sviluppo Economico del 29 luglio 2015 «</w:t>
      </w:r>
      <w:r>
        <w:rPr>
          <w:rFonts w:cs="Symbol"/>
          <w:i/>
          <w:color w:val="000000"/>
          <w:szCs w:val="22"/>
        </w:rPr>
        <w:t>Disciplinare delle procedure per il rilascio dei titoli abilitativi per l'offerta al pubblico dei servizi postali</w:t>
      </w:r>
      <w:r>
        <w:rPr>
          <w:rFonts w:cs="Symbol"/>
          <w:color w:val="000000"/>
          <w:szCs w:val="22"/>
        </w:rPr>
        <w:t>»;</w:t>
      </w:r>
    </w:p>
    <w:p w14:paraId="527B5CD4" w14:textId="77777777" w:rsidR="002C516F" w:rsidRDefault="002C516F" w:rsidP="002C516F">
      <w:pPr>
        <w:widowControl w:val="0"/>
        <w:numPr>
          <w:ilvl w:val="0"/>
          <w:numId w:val="2"/>
        </w:numPr>
        <w:autoSpaceDE w:val="0"/>
        <w:ind w:left="1134"/>
        <w:jc w:val="both"/>
      </w:pPr>
      <w:r>
        <w:rPr>
          <w:rFonts w:cs="Symbol"/>
          <w:color w:val="000000"/>
          <w:szCs w:val="22"/>
        </w:rPr>
        <w:t>autorizzazione generale, in corso di validità, per l’offerta al pubblico di servizi postali non rientranti nell’ambito del servizio universale, ai sensi dell’articolo 6 del decreto legislativo 22 luglio 1999, n. 261 s.m.i. «</w:t>
      </w:r>
      <w:r>
        <w:rPr>
          <w:rFonts w:cs="Symbol"/>
          <w:i/>
          <w:color w:val="000000"/>
          <w:szCs w:val="22"/>
        </w:rPr>
        <w:t>Attuazione della direttiva 97/67/CE concernente regole comuni per lo sviluppo del mercato interno dei servizi postali comunitari e per il miglioramento della qualità del servizio</w:t>
      </w:r>
      <w:r>
        <w:rPr>
          <w:rFonts w:cs="Symbol"/>
          <w:color w:val="000000"/>
          <w:szCs w:val="22"/>
        </w:rPr>
        <w:t>» e del D.M. Ministero dello Sviluppo Economico del 29 luglio 2015 «Disciplinare</w:t>
      </w:r>
      <w:r>
        <w:rPr>
          <w:i/>
          <w:szCs w:val="20"/>
        </w:rPr>
        <w:t xml:space="preserve"> delle procedure per il rilascio dei titoli abilitativi per l'offerta al pubblico dei servizi postali</w:t>
      </w:r>
      <w:r>
        <w:rPr>
          <w:szCs w:val="20"/>
        </w:rPr>
        <w:t>»;</w:t>
      </w:r>
    </w:p>
    <w:p w14:paraId="41BC8777" w14:textId="77777777" w:rsidR="002C516F" w:rsidRPr="00A22463" w:rsidRDefault="002C516F" w:rsidP="002C516F">
      <w:pPr>
        <w:widowControl w:val="0"/>
        <w:numPr>
          <w:ilvl w:val="0"/>
          <w:numId w:val="2"/>
        </w:numPr>
        <w:autoSpaceDE w:val="0"/>
        <w:ind w:left="1134"/>
        <w:jc w:val="both"/>
      </w:pPr>
      <w:r w:rsidRPr="00A22463">
        <w:t xml:space="preserve">capacità economica e finanziaria: fatturato minimo annuo nel settore di attività oggetto del presente appalto – riferito all’ultimo triennio [2016-2017-2018] – non inferiore a € </w:t>
      </w:r>
      <w:r w:rsidRPr="00812708">
        <w:t>170.491,80</w:t>
      </w:r>
      <w:r w:rsidRPr="00A22463">
        <w:t xml:space="preserve"> [oltre Iva, ove dovuta, nella misura di legge]. Tale importo, ritenuto attinente e proporzionato all’oggetto dell’appalto, tiene comunque presente l’interesse pubblico ad avere il più ampio numero di potenziali partecipanti, nel rispetto dei principi di trasparenza e rotazione, dando la garanzia di operatori affidabili dal punto di vista economico-finanziario per le peculiarità del servizio previsto;</w:t>
      </w:r>
    </w:p>
    <w:p w14:paraId="24A68232" w14:textId="4AC3499B" w:rsidR="002C516F" w:rsidRPr="002C516F" w:rsidRDefault="002C516F" w:rsidP="002C516F">
      <w:pPr>
        <w:widowControl w:val="0"/>
        <w:numPr>
          <w:ilvl w:val="0"/>
          <w:numId w:val="2"/>
        </w:numPr>
        <w:autoSpaceDE w:val="0"/>
        <w:ind w:left="1134"/>
        <w:jc w:val="both"/>
      </w:pPr>
      <w:r w:rsidRPr="00A22463">
        <w:lastRenderedPageBreak/>
        <w:t>capacità tecnica e professionale: aver svolto con buon esito nell’ultimo triennio [2017-2018-2019] a favore di committenti pubblici o privati almeno 5 servizi per il trattamento e il recapito al destinatario della corrispondenza</w:t>
      </w:r>
      <w:r>
        <w:rPr>
          <w:rFonts w:cs="Symbol"/>
          <w:color w:val="000000"/>
          <w:szCs w:val="22"/>
        </w:rPr>
        <w:t>;</w:t>
      </w:r>
    </w:p>
    <w:p w14:paraId="03C9996C" w14:textId="06E3EEF1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192381E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</w:t>
      </w:r>
      <w:r w:rsidR="007A45F4">
        <w:rPr>
          <w:color w:val="000000"/>
          <w:szCs w:val="22"/>
        </w:rPr>
        <w:t>eviste nell’avviso di selezione</w:t>
      </w:r>
      <w:r w:rsidR="006967C4">
        <w:rPr>
          <w:color w:val="000000"/>
          <w:szCs w:val="22"/>
        </w:rPr>
        <w:t xml:space="preserve"> e</w:t>
      </w:r>
      <w:r w:rsidR="007A45F4">
        <w:rPr>
          <w:color w:val="000000"/>
          <w:szCs w:val="22"/>
        </w:rPr>
        <w:t>,</w:t>
      </w:r>
      <w:r w:rsidR="006967C4">
        <w:rPr>
          <w:color w:val="000000"/>
          <w:szCs w:val="22"/>
        </w:rPr>
        <w:t xml:space="preserve"> in particolare</w:t>
      </w:r>
      <w:r w:rsidR="007A45F4">
        <w:rPr>
          <w:color w:val="000000"/>
          <w:szCs w:val="22"/>
        </w:rPr>
        <w:t>,</w:t>
      </w:r>
      <w:r w:rsidR="006967C4">
        <w:rPr>
          <w:color w:val="000000"/>
          <w:szCs w:val="22"/>
        </w:rPr>
        <w:t xml:space="preserve"> </w:t>
      </w:r>
      <w:r w:rsidR="007A45F4">
        <w:t>di impegnarsi a effettuare l</w:t>
      </w:r>
      <w:r w:rsidR="007A45F4" w:rsidRPr="0089369B">
        <w:t xml:space="preserve">a lavorazione della corrispondenza da e per il Comune di Cuneo, in una sede </w:t>
      </w:r>
      <w:r w:rsidR="007A45F4" w:rsidRPr="002C516F">
        <w:rPr>
          <w:color w:val="000000"/>
          <w:szCs w:val="22"/>
        </w:rPr>
        <w:t>operativa</w:t>
      </w:r>
      <w:r w:rsidR="007A45F4" w:rsidRPr="0089369B">
        <w:t xml:space="preserve"> ubicata sul territorio comunale o entro un raggio massimo di 20 km dal Comune medesimo, a garanzia di tempi brevi di gestione del servizio.</w:t>
      </w:r>
      <w:r w:rsidR="007A45F4">
        <w:t xml:space="preserve"> Tale sede sarà c</w:t>
      </w:r>
      <w:r w:rsidR="007A45F4" w:rsidRPr="0089369B">
        <w:t>ompletamente funzionante alla data di avvio del servizio, pena la risoluzione del contratto per non funzionamento o funzionamento solo parziale</w:t>
      </w:r>
      <w:r w:rsidR="007A45F4">
        <w:t>;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5B317709" w14:textId="77777777" w:rsidR="00CA0CF6" w:rsidRDefault="00CA0CF6">
      <w:pPr>
        <w:widowControl w:val="0"/>
        <w:ind w:left="5664"/>
        <w:jc w:val="center"/>
      </w:pPr>
    </w:p>
    <w:p w14:paraId="13B07827" w14:textId="77777777" w:rsidR="00CA0CF6" w:rsidRDefault="00CA0CF6">
      <w:pPr>
        <w:rPr>
          <w:rFonts w:ascii="Franklin Gothic Medium" w:hAnsi="Franklin Gothic Medium"/>
        </w:rPr>
      </w:pPr>
    </w:p>
    <w:p w14:paraId="73FE2883" w14:textId="77777777" w:rsidR="00CA0CF6" w:rsidRDefault="00CA0CF6">
      <w:pPr>
        <w:widowControl w:val="0"/>
        <w:jc w:val="both"/>
      </w:pPr>
    </w:p>
    <w:p w14:paraId="78651A34" w14:textId="77777777" w:rsidR="00CA0CF6" w:rsidRDefault="00CA0CF6">
      <w:pPr>
        <w:widowControl w:val="0"/>
        <w:spacing w:after="120"/>
        <w:jc w:val="both"/>
      </w:pPr>
    </w:p>
    <w:p w14:paraId="684DE716" w14:textId="77777777" w:rsidR="00CA0CF6" w:rsidRDefault="00CA0CF6">
      <w:pPr>
        <w:widowControl w:val="0"/>
        <w:ind w:left="5664"/>
        <w:jc w:val="center"/>
      </w:pPr>
    </w:p>
    <w:p w14:paraId="26C48C01" w14:textId="77777777" w:rsidR="00CA0CF6" w:rsidRDefault="00CA0CF6">
      <w:pPr>
        <w:autoSpaceDE w:val="0"/>
        <w:jc w:val="center"/>
        <w:rPr>
          <w:bCs/>
          <w:sz w:val="32"/>
          <w:szCs w:val="28"/>
        </w:rPr>
      </w:pPr>
    </w:p>
    <w:p w14:paraId="115F234F" w14:textId="77777777" w:rsidR="00AC5AD3" w:rsidRDefault="00AC5AD3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1F6218D3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1B4108"/>
    <w:rsid w:val="00205287"/>
    <w:rsid w:val="00234C6F"/>
    <w:rsid w:val="002A2582"/>
    <w:rsid w:val="002C516F"/>
    <w:rsid w:val="002F0EDD"/>
    <w:rsid w:val="00315B96"/>
    <w:rsid w:val="004039FA"/>
    <w:rsid w:val="0049779D"/>
    <w:rsid w:val="004E2BB9"/>
    <w:rsid w:val="006967C4"/>
    <w:rsid w:val="007A45F4"/>
    <w:rsid w:val="007A75D8"/>
    <w:rsid w:val="008E1FB5"/>
    <w:rsid w:val="00904EBC"/>
    <w:rsid w:val="00A842F0"/>
    <w:rsid w:val="00AC5AD3"/>
    <w:rsid w:val="00C8181A"/>
    <w:rsid w:val="00CA0CF6"/>
    <w:rsid w:val="00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Maccagno Manuel</cp:lastModifiedBy>
  <cp:revision>14</cp:revision>
  <cp:lastPrinted>2016-12-07T10:47:00Z</cp:lastPrinted>
  <dcterms:created xsi:type="dcterms:W3CDTF">2019-07-22T12:21:00Z</dcterms:created>
  <dcterms:modified xsi:type="dcterms:W3CDTF">2020-03-02T13:15:00Z</dcterms:modified>
</cp:coreProperties>
</file>