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F5342" w14:textId="77777777" w:rsidR="007828B8" w:rsidRDefault="007828B8" w:rsidP="007828B8">
      <w:pPr>
        <w:spacing w:after="0"/>
        <w:jc w:val="center"/>
        <w:rPr>
          <w:rFonts w:cs="Times New Roman"/>
          <w:szCs w:val="24"/>
        </w:rPr>
      </w:pPr>
      <w:r w:rsidRPr="0087092B">
        <w:rPr>
          <w:rFonts w:cs="Times New Roman"/>
          <w:noProof/>
          <w:szCs w:val="24"/>
          <w:lang w:eastAsia="it-IT"/>
        </w:rPr>
        <w:drawing>
          <wp:inline distT="0" distB="0" distL="0" distR="0" wp14:anchorId="3CE8DE8C" wp14:editId="5795FE6B">
            <wp:extent cx="1603202" cy="15525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5248" cy="1564241"/>
                    </a:xfrm>
                    <a:prstGeom prst="rect">
                      <a:avLst/>
                    </a:prstGeom>
                    <a:noFill/>
                    <a:ln>
                      <a:noFill/>
                    </a:ln>
                  </pic:spPr>
                </pic:pic>
              </a:graphicData>
            </a:graphic>
          </wp:inline>
        </w:drawing>
      </w:r>
    </w:p>
    <w:p w14:paraId="1009D8FB" w14:textId="77777777" w:rsidR="007828B8" w:rsidRPr="0087092B" w:rsidRDefault="007828B8" w:rsidP="007828B8">
      <w:pPr>
        <w:spacing w:after="0"/>
        <w:jc w:val="center"/>
        <w:rPr>
          <w:rFonts w:cs="Times New Roman"/>
          <w:szCs w:val="24"/>
        </w:rPr>
      </w:pPr>
    </w:p>
    <w:p w14:paraId="64D5CC07" w14:textId="77777777" w:rsidR="007828B8" w:rsidRPr="007828B8" w:rsidRDefault="007828B8" w:rsidP="007828B8">
      <w:pPr>
        <w:tabs>
          <w:tab w:val="left" w:pos="6096"/>
        </w:tabs>
        <w:spacing w:after="0" w:line="360" w:lineRule="auto"/>
        <w:jc w:val="center"/>
        <w:rPr>
          <w:rFonts w:cs="Times New Roman"/>
          <w:b/>
          <w:noProof/>
          <w:sz w:val="28"/>
          <w:szCs w:val="24"/>
        </w:rPr>
      </w:pPr>
      <w:r w:rsidRPr="007828B8">
        <w:rPr>
          <w:rFonts w:cs="Times New Roman"/>
          <w:b/>
          <w:noProof/>
          <w:sz w:val="28"/>
          <w:szCs w:val="24"/>
        </w:rPr>
        <w:t>COMUNE DI CUNEO</w:t>
      </w:r>
    </w:p>
    <w:p w14:paraId="7901273E" w14:textId="77777777" w:rsidR="007828B8" w:rsidRPr="007828B8" w:rsidRDefault="007828B8" w:rsidP="007828B8">
      <w:pPr>
        <w:tabs>
          <w:tab w:val="center" w:pos="2127"/>
          <w:tab w:val="left" w:pos="6096"/>
        </w:tabs>
        <w:spacing w:after="0" w:line="360" w:lineRule="auto"/>
        <w:jc w:val="center"/>
        <w:rPr>
          <w:b/>
          <w:sz w:val="28"/>
          <w:szCs w:val="24"/>
        </w:rPr>
      </w:pPr>
      <w:r w:rsidRPr="007828B8">
        <w:rPr>
          <w:b/>
          <w:sz w:val="28"/>
          <w:szCs w:val="24"/>
        </w:rPr>
        <w:t>SETTORE ELABORAZIONE DATI</w:t>
      </w:r>
    </w:p>
    <w:p w14:paraId="3C4B7BA5" w14:textId="77777777" w:rsidR="007828B8" w:rsidRPr="007828B8" w:rsidRDefault="007828B8" w:rsidP="007828B8">
      <w:pPr>
        <w:tabs>
          <w:tab w:val="center" w:pos="2127"/>
          <w:tab w:val="left" w:pos="6096"/>
        </w:tabs>
        <w:spacing w:after="0" w:line="360" w:lineRule="auto"/>
        <w:jc w:val="center"/>
        <w:rPr>
          <w:b/>
          <w:sz w:val="28"/>
          <w:szCs w:val="24"/>
        </w:rPr>
      </w:pPr>
      <w:r w:rsidRPr="007828B8">
        <w:rPr>
          <w:b/>
          <w:sz w:val="28"/>
          <w:szCs w:val="24"/>
        </w:rPr>
        <w:t>ED ATTIVITA’PRODUTTIVE</w:t>
      </w:r>
    </w:p>
    <w:p w14:paraId="36D3482D" w14:textId="77777777" w:rsidR="007828B8" w:rsidRPr="007828B8" w:rsidRDefault="007828B8" w:rsidP="007828B8">
      <w:pPr>
        <w:spacing w:after="0"/>
        <w:jc w:val="center"/>
        <w:rPr>
          <w:sz w:val="20"/>
          <w:szCs w:val="16"/>
        </w:rPr>
      </w:pPr>
      <w:r w:rsidRPr="007828B8">
        <w:rPr>
          <w:sz w:val="20"/>
          <w:szCs w:val="16"/>
        </w:rPr>
        <w:t>Via Roma 28, 12100 CUNEO</w:t>
      </w:r>
    </w:p>
    <w:p w14:paraId="6284BB04" w14:textId="77777777" w:rsidR="007828B8" w:rsidRPr="007828B8" w:rsidRDefault="007828B8" w:rsidP="007828B8">
      <w:pPr>
        <w:tabs>
          <w:tab w:val="center" w:pos="2127"/>
        </w:tabs>
        <w:spacing w:after="0"/>
        <w:jc w:val="center"/>
        <w:rPr>
          <w:sz w:val="20"/>
          <w:szCs w:val="16"/>
          <w:lang w:val="en-US"/>
        </w:rPr>
      </w:pPr>
      <w:r w:rsidRPr="007828B8">
        <w:rPr>
          <w:sz w:val="20"/>
          <w:szCs w:val="16"/>
          <w:lang w:val="en-US"/>
        </w:rPr>
        <w:t>Tel. 0171/4441 – Fax 0171/444211</w:t>
      </w:r>
    </w:p>
    <w:p w14:paraId="19076C09" w14:textId="77777777" w:rsidR="007828B8" w:rsidRPr="007828B8" w:rsidRDefault="00B85001" w:rsidP="007828B8">
      <w:pPr>
        <w:tabs>
          <w:tab w:val="center" w:pos="2127"/>
        </w:tabs>
        <w:spacing w:after="0"/>
        <w:jc w:val="center"/>
        <w:rPr>
          <w:sz w:val="20"/>
          <w:szCs w:val="16"/>
          <w:lang w:val="en-US"/>
        </w:rPr>
      </w:pPr>
      <w:hyperlink r:id="rId11" w:history="1">
        <w:r w:rsidR="007828B8" w:rsidRPr="007828B8">
          <w:rPr>
            <w:color w:val="0000FF"/>
            <w:sz w:val="20"/>
            <w:szCs w:val="16"/>
            <w:u w:val="single"/>
            <w:lang w:val="en-US"/>
          </w:rPr>
          <w:t>Ufficio.protocollo@comune.cuneo.it</w:t>
        </w:r>
      </w:hyperlink>
    </w:p>
    <w:p w14:paraId="4CC8581B" w14:textId="77777777" w:rsidR="007828B8" w:rsidRPr="00E45FB8" w:rsidRDefault="007828B8" w:rsidP="007828B8">
      <w:pPr>
        <w:jc w:val="center"/>
        <w:rPr>
          <w:lang w:val="en-US"/>
        </w:rPr>
      </w:pPr>
    </w:p>
    <w:p w14:paraId="4ADA70ED" w14:textId="77777777" w:rsidR="005F06AC" w:rsidRDefault="005F06AC" w:rsidP="000E2F24">
      <w:pPr>
        <w:jc w:val="both"/>
        <w:rPr>
          <w:sz w:val="52"/>
          <w:szCs w:val="52"/>
        </w:rPr>
      </w:pPr>
    </w:p>
    <w:p w14:paraId="466EC92D" w14:textId="01F36E09" w:rsidR="004E26C8" w:rsidRPr="005F06AC" w:rsidRDefault="004E26C8" w:rsidP="007828B8">
      <w:pPr>
        <w:jc w:val="center"/>
        <w:rPr>
          <w:sz w:val="72"/>
          <w:szCs w:val="72"/>
        </w:rPr>
      </w:pPr>
      <w:r w:rsidRPr="005F06AC">
        <w:rPr>
          <w:sz w:val="72"/>
          <w:szCs w:val="72"/>
        </w:rPr>
        <w:t>Consultazione di mercato finalizzata alla sostituzione di moduli applicativi in uso al Comune di Cuneo</w:t>
      </w:r>
      <w:r w:rsidR="007828B8">
        <w:rPr>
          <w:sz w:val="72"/>
          <w:szCs w:val="72"/>
        </w:rPr>
        <w:t xml:space="preserve"> - Documentazione</w:t>
      </w:r>
    </w:p>
    <w:p w14:paraId="055BECFF" w14:textId="329FA8A9" w:rsidR="005F06AC" w:rsidRDefault="005F06AC" w:rsidP="000E2F24">
      <w:pPr>
        <w:jc w:val="both"/>
      </w:pPr>
    </w:p>
    <w:p w14:paraId="321633D0" w14:textId="18CE72EE" w:rsidR="005F06AC" w:rsidRDefault="005F06AC" w:rsidP="000E2F24">
      <w:pPr>
        <w:jc w:val="both"/>
      </w:pPr>
    </w:p>
    <w:p w14:paraId="431BC910" w14:textId="1BFD31EC" w:rsidR="005F06AC" w:rsidRDefault="005F06AC" w:rsidP="000E2F24">
      <w:pPr>
        <w:jc w:val="both"/>
      </w:pPr>
    </w:p>
    <w:p w14:paraId="5B70ECAC" w14:textId="77777777" w:rsidR="005F06AC" w:rsidRDefault="005F06AC" w:rsidP="000E2F24">
      <w:pPr>
        <w:jc w:val="both"/>
      </w:pPr>
    </w:p>
    <w:p w14:paraId="1F3326A5" w14:textId="1B2114C8" w:rsidR="004E26C8" w:rsidRPr="007828B8" w:rsidRDefault="004E26C8" w:rsidP="000E2F24">
      <w:pPr>
        <w:pBdr>
          <w:bottom w:val="single" w:sz="12" w:space="1" w:color="auto"/>
        </w:pBdr>
        <w:spacing w:line="276" w:lineRule="auto"/>
        <w:ind w:left="284"/>
        <w:jc w:val="both"/>
        <w:rPr>
          <w:rFonts w:cs="Arial"/>
          <w:b/>
          <w:bCs/>
          <w:i/>
          <w:sz w:val="20"/>
          <w:szCs w:val="20"/>
        </w:rPr>
      </w:pPr>
      <w:r w:rsidRPr="007828B8">
        <w:rPr>
          <w:rFonts w:cs="Arial"/>
          <w:b/>
          <w:bCs/>
          <w:i/>
          <w:sz w:val="20"/>
          <w:szCs w:val="20"/>
        </w:rPr>
        <w:t xml:space="preserve">Da inviare a mezzo </w:t>
      </w:r>
      <w:proofErr w:type="spellStart"/>
      <w:r w:rsidR="00A0040C" w:rsidRPr="007828B8">
        <w:rPr>
          <w:rFonts w:cs="Arial"/>
          <w:b/>
          <w:bCs/>
          <w:i/>
          <w:sz w:val="20"/>
          <w:szCs w:val="20"/>
        </w:rPr>
        <w:t>pec</w:t>
      </w:r>
      <w:proofErr w:type="spellEnd"/>
      <w:r w:rsidRPr="007828B8">
        <w:rPr>
          <w:rFonts w:cs="Arial"/>
          <w:b/>
          <w:bCs/>
          <w:i/>
          <w:sz w:val="20"/>
          <w:szCs w:val="20"/>
        </w:rPr>
        <w:t xml:space="preserve"> all’indirizzo:</w:t>
      </w:r>
    </w:p>
    <w:p w14:paraId="2675975E" w14:textId="6254D108" w:rsidR="004E26C8" w:rsidRPr="007828B8" w:rsidRDefault="00B85001" w:rsidP="000E2F24">
      <w:pPr>
        <w:pBdr>
          <w:bottom w:val="single" w:sz="12" w:space="1" w:color="auto"/>
        </w:pBdr>
        <w:spacing w:line="276" w:lineRule="auto"/>
        <w:ind w:left="284"/>
        <w:jc w:val="both"/>
        <w:rPr>
          <w:rFonts w:cs="Arial"/>
          <w:iCs/>
        </w:rPr>
      </w:pPr>
      <w:hyperlink r:id="rId12" w:history="1">
        <w:r w:rsidR="0060279F" w:rsidRPr="007828B8">
          <w:rPr>
            <w:rStyle w:val="Collegamentoipertestuale"/>
            <w:iCs/>
            <w:highlight w:val="yellow"/>
            <w:u w:val="none"/>
          </w:rPr>
          <w:t>protocollo.comune.cuneo@legalmail.it</w:t>
        </w:r>
      </w:hyperlink>
    </w:p>
    <w:p w14:paraId="083CB077" w14:textId="77777777" w:rsidR="004E26C8" w:rsidRDefault="004E26C8" w:rsidP="000E2F24">
      <w:pPr>
        <w:jc w:val="both"/>
      </w:pPr>
    </w:p>
    <w:p w14:paraId="18F2F2C4" w14:textId="0E398A9F" w:rsidR="004E26C8" w:rsidRDefault="007828B8" w:rsidP="000E2F24">
      <w:pPr>
        <w:pStyle w:val="Titolo1"/>
        <w:jc w:val="both"/>
      </w:pPr>
      <w:r>
        <w:t>P</w:t>
      </w:r>
      <w:r w:rsidR="009B4B1F">
        <w:t>remessa</w:t>
      </w:r>
    </w:p>
    <w:p w14:paraId="4426EECF" w14:textId="6C8327E4" w:rsidR="001F09D3" w:rsidRDefault="00E219EF" w:rsidP="000E2F24">
      <w:pPr>
        <w:jc w:val="both"/>
      </w:pPr>
      <w:r w:rsidRPr="00297F51">
        <w:t>Il Comune di Cuneo intende sostitu</w:t>
      </w:r>
      <w:r w:rsidR="00DB35A5" w:rsidRPr="00297F51">
        <w:t>ire alcuni moduli applicativi del proprio Sistema Informativo</w:t>
      </w:r>
      <w:r w:rsidR="007F4AE2" w:rsidRPr="00297F51">
        <w:t xml:space="preserve"> attraverso l’acquisizione di una </w:t>
      </w:r>
      <w:r w:rsidR="00214ACB" w:rsidRPr="00297F51">
        <w:t>soluzione</w:t>
      </w:r>
      <w:r w:rsidR="00CE23D0" w:rsidRPr="00297F51">
        <w:t xml:space="preserve"> che risponda efficacemente alle esigenze dell’Ente in termini di </w:t>
      </w:r>
      <w:r w:rsidR="00C96982" w:rsidRPr="00297F51">
        <w:t>requisiti tecnici e servizi di supporto</w:t>
      </w:r>
      <w:r w:rsidR="000803F8" w:rsidRPr="00297F51">
        <w:t>.</w:t>
      </w:r>
      <w:r w:rsidR="000803F8">
        <w:t xml:space="preserve"> </w:t>
      </w:r>
    </w:p>
    <w:p w14:paraId="5E02375C" w14:textId="6D39E889" w:rsidR="000035A9" w:rsidRDefault="00397EC0" w:rsidP="000E2F24">
      <w:pPr>
        <w:jc w:val="both"/>
      </w:pPr>
      <w:r>
        <w:t xml:space="preserve">Con la presente </w:t>
      </w:r>
      <w:r w:rsidR="00F721FA">
        <w:t>Consultazione preliminare di mercato</w:t>
      </w:r>
      <w:r w:rsidR="00A060D1">
        <w:t xml:space="preserve">, ai sensi dell’art. </w:t>
      </w:r>
      <w:r w:rsidR="00630D69">
        <w:t xml:space="preserve">66 </w:t>
      </w:r>
      <w:r w:rsidR="00A060D1">
        <w:t xml:space="preserve">comma 1 </w:t>
      </w:r>
      <w:r w:rsidR="00F81962">
        <w:t xml:space="preserve">del </w:t>
      </w:r>
      <w:proofErr w:type="spellStart"/>
      <w:r w:rsidR="00F81962">
        <w:t>D.Lgs.</w:t>
      </w:r>
      <w:proofErr w:type="spellEnd"/>
      <w:r w:rsidR="00F81962">
        <w:t xml:space="preserve"> </w:t>
      </w:r>
      <w:r w:rsidR="00517F27">
        <w:t>50/2016</w:t>
      </w:r>
      <w:r w:rsidR="00630D69">
        <w:t>, il Comune di Cuneo intende:</w:t>
      </w:r>
    </w:p>
    <w:p w14:paraId="28CC5A89" w14:textId="3488FB82" w:rsidR="003F6F8D" w:rsidRDefault="00077E3E" w:rsidP="000E2F24">
      <w:pPr>
        <w:pStyle w:val="Paragrafoelenco"/>
        <w:numPr>
          <w:ilvl w:val="0"/>
          <w:numId w:val="2"/>
        </w:numPr>
        <w:jc w:val="both"/>
      </w:pPr>
      <w:r>
        <w:t>garantire la massima pubblicità all’iniziativa stessa al fine di assicurare la più ampia diffusione delle informazioni</w:t>
      </w:r>
      <w:r w:rsidR="003F6F8D">
        <w:t>;</w:t>
      </w:r>
    </w:p>
    <w:p w14:paraId="3E5427B7" w14:textId="06256F17" w:rsidR="00630D69" w:rsidRDefault="00077E3E" w:rsidP="000E2F24">
      <w:pPr>
        <w:pStyle w:val="Paragrafoelenco"/>
        <w:numPr>
          <w:ilvl w:val="0"/>
          <w:numId w:val="2"/>
        </w:numPr>
        <w:jc w:val="both"/>
      </w:pPr>
      <w:r>
        <w:t>ottenere la più efficace partecipazione da parte dei soggetti interessati;</w:t>
      </w:r>
    </w:p>
    <w:p w14:paraId="6523760F" w14:textId="6B2BC2F3" w:rsidR="003F6F8D" w:rsidRPr="007F4AE2" w:rsidRDefault="005D3730" w:rsidP="000E2F24">
      <w:pPr>
        <w:pStyle w:val="Paragrafoelenco"/>
        <w:numPr>
          <w:ilvl w:val="0"/>
          <w:numId w:val="2"/>
        </w:numPr>
        <w:jc w:val="both"/>
      </w:pPr>
      <w:r w:rsidRPr="007F4AE2">
        <w:t>ricevere, da parte dei soggetti interessati, osservazioni e suggerimenti per una più compiuta conoscenza del mercato;</w:t>
      </w:r>
    </w:p>
    <w:p w14:paraId="02B8E10D" w14:textId="166E11AE" w:rsidR="00894F40" w:rsidRPr="007F4AE2" w:rsidRDefault="00894F40" w:rsidP="000E2F24">
      <w:pPr>
        <w:pStyle w:val="Paragrafoelenco"/>
        <w:numPr>
          <w:ilvl w:val="0"/>
          <w:numId w:val="2"/>
        </w:numPr>
        <w:jc w:val="both"/>
      </w:pPr>
      <w:r w:rsidRPr="007F4AE2">
        <w:t>pubblicizzare al meglio le caratteristiche qualitative e tecniche dei beni e servizi oggetto di analisi.</w:t>
      </w:r>
    </w:p>
    <w:p w14:paraId="17A8FF3A" w14:textId="3FBFF8A2" w:rsidR="0094733F" w:rsidRPr="00DA1E48" w:rsidRDefault="00B12358" w:rsidP="000E2F24">
      <w:pPr>
        <w:jc w:val="both"/>
      </w:pPr>
      <w:r w:rsidRPr="00DA1E48">
        <w:t xml:space="preserve">Gli operatori economici interessati potranno perciò fornire il loro contributo </w:t>
      </w:r>
      <w:r w:rsidR="00CC2B13" w:rsidRPr="00DA1E48">
        <w:t>– previa presa visione dell</w:t>
      </w:r>
      <w:r w:rsidR="0043441C" w:rsidRPr="00DA1E48">
        <w:t xml:space="preserve">’informativa </w:t>
      </w:r>
      <w:r w:rsidR="00247989" w:rsidRPr="00DA1E48">
        <w:t xml:space="preserve">sulla privacy </w:t>
      </w:r>
      <w:r w:rsidR="00105BA7" w:rsidRPr="00DA1E48">
        <w:t xml:space="preserve">riportata al </w:t>
      </w:r>
      <w:r w:rsidR="00EC7172" w:rsidRPr="00DA1E48">
        <w:t xml:space="preserve">paragrafo successivo </w:t>
      </w:r>
      <w:r w:rsidR="00F74FD6" w:rsidRPr="00DA1E48">
        <w:t>–</w:t>
      </w:r>
      <w:r w:rsidR="00EC7172" w:rsidRPr="00DA1E48">
        <w:t xml:space="preserve"> </w:t>
      </w:r>
      <w:r w:rsidR="00F74FD6" w:rsidRPr="00DA1E48">
        <w:t xml:space="preserve">compilando il questionario contenuto nel presente documento </w:t>
      </w:r>
      <w:r w:rsidR="00A0148F" w:rsidRPr="00DA1E48">
        <w:t xml:space="preserve">e inviandolo </w:t>
      </w:r>
      <w:r w:rsidR="00A0148F" w:rsidRPr="00B85001">
        <w:t xml:space="preserve">entro </w:t>
      </w:r>
      <w:r w:rsidR="004E4FD7" w:rsidRPr="00B85001">
        <w:t xml:space="preserve">le ore </w:t>
      </w:r>
      <w:r w:rsidR="00A0040C" w:rsidRPr="00B85001">
        <w:t>23</w:t>
      </w:r>
      <w:r w:rsidR="00A41917" w:rsidRPr="00B85001">
        <w:t>.</w:t>
      </w:r>
      <w:r w:rsidR="00A0040C" w:rsidRPr="00B85001">
        <w:t>59</w:t>
      </w:r>
      <w:r w:rsidR="00A41917" w:rsidRPr="00B85001">
        <w:t xml:space="preserve"> del giorno </w:t>
      </w:r>
      <w:r w:rsidR="00A0040C" w:rsidRPr="00B85001">
        <w:t>25</w:t>
      </w:r>
      <w:r w:rsidR="004914CD" w:rsidRPr="00B85001">
        <w:t>/</w:t>
      </w:r>
      <w:r w:rsidR="00A0040C" w:rsidRPr="00B85001">
        <w:t>01</w:t>
      </w:r>
      <w:r w:rsidR="004914CD" w:rsidRPr="00B85001">
        <w:t>/</w:t>
      </w:r>
      <w:r w:rsidR="00A0040C" w:rsidRPr="00B85001">
        <w:t>2020</w:t>
      </w:r>
      <w:r w:rsidR="00570B6A" w:rsidRPr="00B85001">
        <w:t xml:space="preserve"> all’indirizzo e-mail </w:t>
      </w:r>
      <w:hyperlink r:id="rId13" w:history="1">
        <w:r w:rsidR="0060279F" w:rsidRPr="00B85001">
          <w:rPr>
            <w:rStyle w:val="Collegamentoipertestuale"/>
          </w:rPr>
          <w:t>protocollo.comune.cuneo@legalmail.it</w:t>
        </w:r>
      </w:hyperlink>
      <w:r w:rsidR="00384BF5" w:rsidRPr="00B85001">
        <w:t xml:space="preserve"> </w:t>
      </w:r>
      <w:r w:rsidR="00774B9F" w:rsidRPr="00B85001">
        <w:t>specificando nell’oggetto: “Progetto di sostituzione di moduli applicativi in uso al Comune di Cuneo”</w:t>
      </w:r>
      <w:r w:rsidR="00642A18" w:rsidRPr="00B85001">
        <w:t>.</w:t>
      </w:r>
    </w:p>
    <w:p w14:paraId="3892DB95" w14:textId="70AB58A9" w:rsidR="005A0726" w:rsidRDefault="00B20141" w:rsidP="000E2F24">
      <w:pPr>
        <w:jc w:val="both"/>
      </w:pPr>
      <w:r>
        <w:t>Tutte le informazioni fornite con il presente documento saranno utilizzate ai soli fini dello sviluppo dell’iniziativa in oggetto</w:t>
      </w:r>
      <w:r w:rsidR="00E81272">
        <w:t>.</w:t>
      </w:r>
    </w:p>
    <w:p w14:paraId="78754347" w14:textId="67324C3F" w:rsidR="008979D9" w:rsidRPr="008979D9" w:rsidRDefault="008979D9" w:rsidP="002176C8">
      <w:pPr>
        <w:jc w:val="both"/>
      </w:pPr>
      <w:r w:rsidRPr="00DC7B94">
        <w:rPr>
          <w:b/>
          <w:bCs/>
        </w:rPr>
        <w:t>Nota bene</w:t>
      </w:r>
      <w:r w:rsidRPr="00DC7B94">
        <w:t>: In considerazione della natura dell</w:t>
      </w:r>
      <w:r w:rsidR="00DF5887" w:rsidRPr="00DC7B94">
        <w:t>a Consultazione</w:t>
      </w:r>
      <w:r w:rsidRPr="00DC7B94">
        <w:t xml:space="preserve"> in corso e dei relativi fini di analisi è richiesto di omettere ovvero di non inserire tra le informazioni, elementi protetti da segreto industriale, know-how, proprietà intellettuale e/o industriale o analoga normativa.</w:t>
      </w:r>
      <w:r w:rsidRPr="008F18BC">
        <w:t xml:space="preserve">  </w:t>
      </w:r>
    </w:p>
    <w:p w14:paraId="393BB5FB" w14:textId="338DEC5B" w:rsidR="005A0726" w:rsidRPr="005A0726" w:rsidRDefault="00E81272" w:rsidP="000E2F24">
      <w:pPr>
        <w:jc w:val="both"/>
      </w:pPr>
      <w:r>
        <w:t xml:space="preserve">Il </w:t>
      </w:r>
      <w:r w:rsidR="002967D9">
        <w:t>C</w:t>
      </w:r>
      <w:r w:rsidR="00DB2903">
        <w:t>omune di Cuneo,</w:t>
      </w:r>
      <w:r w:rsidR="005A0726" w:rsidRPr="005A0726">
        <w:t xml:space="preserve"> in ragione di </w:t>
      </w:r>
      <w:r w:rsidR="00DB2903">
        <w:t xml:space="preserve">quanto di </w:t>
      </w:r>
      <w:r w:rsidR="005A0726" w:rsidRPr="005A0726">
        <w:t>seguito previsto in materia di trattamento dei dati personali, si impegna a non divulgare a terzi le informazioni raccolte con il presente documento.</w:t>
      </w:r>
    </w:p>
    <w:p w14:paraId="42C1357A" w14:textId="41F1CCC2" w:rsidR="005A0726" w:rsidRDefault="005A0726" w:rsidP="000E2F24">
      <w:pPr>
        <w:jc w:val="both"/>
      </w:pPr>
      <w:r w:rsidRPr="005A0726">
        <w:t xml:space="preserve">L’invio del documento al recapito </w:t>
      </w:r>
      <w:r w:rsidR="002424A7">
        <w:t xml:space="preserve">su indicato </w:t>
      </w:r>
      <w:r w:rsidRPr="005A0726">
        <w:t>implica il consenso al trattamento dei dati forniti.</w:t>
      </w:r>
    </w:p>
    <w:tbl>
      <w:tblPr>
        <w:tblStyle w:val="Grigliatabella"/>
        <w:tblW w:w="0" w:type="auto"/>
        <w:tblLook w:val="04A0" w:firstRow="1" w:lastRow="0" w:firstColumn="1" w:lastColumn="0" w:noHBand="0" w:noVBand="1"/>
      </w:tblPr>
      <w:tblGrid>
        <w:gridCol w:w="2830"/>
        <w:gridCol w:w="5664"/>
      </w:tblGrid>
      <w:tr w:rsidR="00473B07" w:rsidRPr="00473B07" w14:paraId="6FC9E263" w14:textId="77777777" w:rsidTr="00473B07">
        <w:tc>
          <w:tcPr>
            <w:tcW w:w="8494" w:type="dxa"/>
            <w:gridSpan w:val="2"/>
            <w:shd w:val="clear" w:color="auto" w:fill="767171" w:themeFill="background2" w:themeFillShade="80"/>
          </w:tcPr>
          <w:p w14:paraId="3B2E06DB" w14:textId="5196D168" w:rsidR="00A67C82" w:rsidRPr="00473B07" w:rsidRDefault="00A67C82" w:rsidP="000E2F24">
            <w:pPr>
              <w:spacing w:line="360" w:lineRule="auto"/>
              <w:jc w:val="both"/>
              <w:rPr>
                <w:rFonts w:ascii="Calibri" w:hAnsi="Calibri" w:cs="Arial"/>
                <w:b/>
                <w:color w:val="FFFFFF" w:themeColor="background1"/>
                <w:sz w:val="20"/>
                <w:szCs w:val="20"/>
              </w:rPr>
            </w:pPr>
            <w:r w:rsidRPr="00473B07">
              <w:rPr>
                <w:rFonts w:ascii="Calibri" w:hAnsi="Calibri" w:cs="Arial"/>
                <w:b/>
                <w:color w:val="FFFFFF" w:themeColor="background1"/>
                <w:sz w:val="18"/>
                <w:szCs w:val="18"/>
              </w:rPr>
              <w:t>DATI DELL’AZIENDA</w:t>
            </w:r>
          </w:p>
        </w:tc>
      </w:tr>
      <w:tr w:rsidR="00473B07" w:rsidRPr="00473B07" w14:paraId="6C7447D4" w14:textId="77777777" w:rsidTr="00473B07">
        <w:tc>
          <w:tcPr>
            <w:tcW w:w="2830" w:type="dxa"/>
            <w:shd w:val="clear" w:color="auto" w:fill="D0CECE" w:themeFill="background2" w:themeFillShade="E6"/>
          </w:tcPr>
          <w:p w14:paraId="4F10B3A1" w14:textId="77777777" w:rsidR="00D17436" w:rsidRPr="00473B07" w:rsidRDefault="00D17436" w:rsidP="000E2F24">
            <w:pPr>
              <w:jc w:val="both"/>
              <w:rPr>
                <w:rFonts w:ascii="Calibri" w:hAnsi="Calibri" w:cs="Arial"/>
                <w:bCs/>
                <w:color w:val="000000" w:themeColor="text1"/>
                <w:sz w:val="18"/>
                <w:szCs w:val="18"/>
              </w:rPr>
            </w:pPr>
            <w:r w:rsidRPr="00473B07">
              <w:rPr>
                <w:rFonts w:ascii="Calibri" w:hAnsi="Calibri" w:cs="Arial"/>
                <w:bCs/>
                <w:color w:val="000000" w:themeColor="text1"/>
                <w:sz w:val="18"/>
                <w:szCs w:val="18"/>
              </w:rPr>
              <w:t>Azienda</w:t>
            </w:r>
          </w:p>
        </w:tc>
        <w:tc>
          <w:tcPr>
            <w:tcW w:w="5664" w:type="dxa"/>
          </w:tcPr>
          <w:p w14:paraId="4EC81256" w14:textId="77777777" w:rsidR="00D17436" w:rsidRPr="00473B07" w:rsidRDefault="00D17436" w:rsidP="000E2F24">
            <w:pPr>
              <w:spacing w:line="360" w:lineRule="auto"/>
              <w:jc w:val="both"/>
              <w:rPr>
                <w:rFonts w:ascii="Calibri" w:hAnsi="Calibri" w:cs="Arial"/>
                <w:b/>
                <w:bCs/>
                <w:color w:val="000000" w:themeColor="text1"/>
                <w:sz w:val="20"/>
                <w:szCs w:val="20"/>
              </w:rPr>
            </w:pPr>
          </w:p>
        </w:tc>
      </w:tr>
      <w:tr w:rsidR="00473B07" w:rsidRPr="00473B07" w14:paraId="7F452909" w14:textId="77777777" w:rsidTr="00473B07">
        <w:tc>
          <w:tcPr>
            <w:tcW w:w="2830" w:type="dxa"/>
            <w:shd w:val="clear" w:color="auto" w:fill="D0CECE" w:themeFill="background2" w:themeFillShade="E6"/>
          </w:tcPr>
          <w:p w14:paraId="43F48102" w14:textId="77777777" w:rsidR="00D17436" w:rsidRPr="00473B07" w:rsidRDefault="00D17436" w:rsidP="000E2F24">
            <w:pPr>
              <w:jc w:val="both"/>
              <w:rPr>
                <w:rFonts w:ascii="Calibri" w:hAnsi="Calibri" w:cs="Arial"/>
                <w:bCs/>
                <w:color w:val="000000" w:themeColor="text1"/>
                <w:sz w:val="18"/>
                <w:szCs w:val="18"/>
              </w:rPr>
            </w:pPr>
            <w:r w:rsidRPr="00473B07">
              <w:rPr>
                <w:rFonts w:ascii="Calibri" w:hAnsi="Calibri" w:cs="Arial"/>
                <w:bCs/>
                <w:color w:val="000000" w:themeColor="text1"/>
                <w:sz w:val="18"/>
                <w:szCs w:val="18"/>
              </w:rPr>
              <w:t>Indirizzo</w:t>
            </w:r>
          </w:p>
        </w:tc>
        <w:tc>
          <w:tcPr>
            <w:tcW w:w="5664" w:type="dxa"/>
          </w:tcPr>
          <w:p w14:paraId="16060046" w14:textId="77777777" w:rsidR="00D17436" w:rsidRPr="00473B07" w:rsidRDefault="00D17436" w:rsidP="000E2F24">
            <w:pPr>
              <w:spacing w:line="360" w:lineRule="auto"/>
              <w:jc w:val="both"/>
              <w:rPr>
                <w:rFonts w:ascii="Calibri" w:hAnsi="Calibri" w:cs="Arial"/>
                <w:b/>
                <w:bCs/>
                <w:color w:val="000000" w:themeColor="text1"/>
                <w:sz w:val="20"/>
                <w:szCs w:val="20"/>
              </w:rPr>
            </w:pPr>
          </w:p>
        </w:tc>
      </w:tr>
      <w:tr w:rsidR="00473B07" w:rsidRPr="00473B07" w14:paraId="35AA6AB6" w14:textId="77777777" w:rsidTr="00473B07">
        <w:tc>
          <w:tcPr>
            <w:tcW w:w="2830" w:type="dxa"/>
            <w:shd w:val="clear" w:color="auto" w:fill="D0CECE" w:themeFill="background2" w:themeFillShade="E6"/>
          </w:tcPr>
          <w:p w14:paraId="1B443389" w14:textId="77777777" w:rsidR="00D17436" w:rsidRPr="00473B07" w:rsidRDefault="00D17436" w:rsidP="000E2F24">
            <w:pPr>
              <w:jc w:val="both"/>
              <w:rPr>
                <w:rFonts w:ascii="Calibri" w:hAnsi="Calibri" w:cs="Arial"/>
                <w:bCs/>
                <w:color w:val="000000" w:themeColor="text1"/>
                <w:sz w:val="18"/>
                <w:szCs w:val="18"/>
              </w:rPr>
            </w:pPr>
            <w:r w:rsidRPr="00473B07">
              <w:rPr>
                <w:rFonts w:ascii="Calibri" w:hAnsi="Calibri" w:cs="Arial"/>
                <w:bCs/>
                <w:color w:val="000000" w:themeColor="text1"/>
                <w:sz w:val="18"/>
                <w:szCs w:val="18"/>
              </w:rPr>
              <w:t>Nome e cognome del referente</w:t>
            </w:r>
          </w:p>
        </w:tc>
        <w:tc>
          <w:tcPr>
            <w:tcW w:w="5664" w:type="dxa"/>
          </w:tcPr>
          <w:p w14:paraId="2279CC96" w14:textId="77777777" w:rsidR="00D17436" w:rsidRPr="00473B07" w:rsidRDefault="00D17436" w:rsidP="000E2F24">
            <w:pPr>
              <w:spacing w:line="360" w:lineRule="auto"/>
              <w:jc w:val="both"/>
              <w:rPr>
                <w:rFonts w:ascii="Calibri" w:hAnsi="Calibri" w:cs="Arial"/>
                <w:b/>
                <w:bCs/>
                <w:color w:val="000000" w:themeColor="text1"/>
                <w:sz w:val="20"/>
                <w:szCs w:val="20"/>
              </w:rPr>
            </w:pPr>
          </w:p>
        </w:tc>
      </w:tr>
      <w:tr w:rsidR="00473B07" w:rsidRPr="00473B07" w14:paraId="24F7560E" w14:textId="77777777" w:rsidTr="00473B07">
        <w:tc>
          <w:tcPr>
            <w:tcW w:w="2830" w:type="dxa"/>
            <w:shd w:val="clear" w:color="auto" w:fill="D0CECE" w:themeFill="background2" w:themeFillShade="E6"/>
          </w:tcPr>
          <w:p w14:paraId="65CCA840" w14:textId="77777777" w:rsidR="00D17436" w:rsidRPr="00473B07" w:rsidRDefault="00D17436" w:rsidP="000E2F24">
            <w:pPr>
              <w:jc w:val="both"/>
              <w:rPr>
                <w:rFonts w:ascii="Calibri" w:hAnsi="Calibri" w:cs="Arial"/>
                <w:bCs/>
                <w:color w:val="000000" w:themeColor="text1"/>
                <w:sz w:val="18"/>
                <w:szCs w:val="18"/>
              </w:rPr>
            </w:pPr>
            <w:r w:rsidRPr="00473B07">
              <w:rPr>
                <w:rFonts w:ascii="Calibri" w:hAnsi="Calibri" w:cs="Arial"/>
                <w:bCs/>
                <w:color w:val="000000" w:themeColor="text1"/>
                <w:sz w:val="18"/>
                <w:szCs w:val="18"/>
              </w:rPr>
              <w:t>Ruolo in azienda</w:t>
            </w:r>
          </w:p>
        </w:tc>
        <w:tc>
          <w:tcPr>
            <w:tcW w:w="5664" w:type="dxa"/>
          </w:tcPr>
          <w:p w14:paraId="775F7ACF" w14:textId="77777777" w:rsidR="00D17436" w:rsidRPr="00473B07" w:rsidRDefault="00D17436" w:rsidP="000E2F24">
            <w:pPr>
              <w:spacing w:line="360" w:lineRule="auto"/>
              <w:jc w:val="both"/>
              <w:rPr>
                <w:rFonts w:ascii="Calibri" w:hAnsi="Calibri" w:cs="Arial"/>
                <w:b/>
                <w:bCs/>
                <w:color w:val="000000" w:themeColor="text1"/>
                <w:sz w:val="20"/>
                <w:szCs w:val="20"/>
              </w:rPr>
            </w:pPr>
          </w:p>
        </w:tc>
      </w:tr>
      <w:tr w:rsidR="00473B07" w:rsidRPr="00473B07" w14:paraId="5C182EDA" w14:textId="77777777" w:rsidTr="00473B07">
        <w:tc>
          <w:tcPr>
            <w:tcW w:w="2830" w:type="dxa"/>
            <w:shd w:val="clear" w:color="auto" w:fill="D0CECE" w:themeFill="background2" w:themeFillShade="E6"/>
          </w:tcPr>
          <w:p w14:paraId="3FAD1E7E" w14:textId="77777777" w:rsidR="00D17436" w:rsidRPr="00473B07" w:rsidRDefault="00D17436" w:rsidP="000E2F24">
            <w:pPr>
              <w:jc w:val="both"/>
              <w:rPr>
                <w:rFonts w:ascii="Calibri" w:hAnsi="Calibri" w:cs="Arial"/>
                <w:bCs/>
                <w:color w:val="000000" w:themeColor="text1"/>
                <w:sz w:val="18"/>
                <w:szCs w:val="18"/>
              </w:rPr>
            </w:pPr>
            <w:r w:rsidRPr="00473B07">
              <w:rPr>
                <w:rFonts w:ascii="Calibri" w:hAnsi="Calibri" w:cs="Arial"/>
                <w:bCs/>
                <w:color w:val="000000" w:themeColor="text1"/>
                <w:sz w:val="18"/>
                <w:szCs w:val="18"/>
              </w:rPr>
              <w:t>Telefono</w:t>
            </w:r>
          </w:p>
        </w:tc>
        <w:tc>
          <w:tcPr>
            <w:tcW w:w="5664" w:type="dxa"/>
          </w:tcPr>
          <w:p w14:paraId="6F77A595" w14:textId="77777777" w:rsidR="00D17436" w:rsidRPr="00473B07" w:rsidRDefault="00D17436" w:rsidP="000E2F24">
            <w:pPr>
              <w:spacing w:line="360" w:lineRule="auto"/>
              <w:jc w:val="both"/>
              <w:rPr>
                <w:rFonts w:ascii="Calibri" w:hAnsi="Calibri" w:cs="Arial"/>
                <w:b/>
                <w:bCs/>
                <w:color w:val="000000" w:themeColor="text1"/>
                <w:sz w:val="20"/>
                <w:szCs w:val="20"/>
              </w:rPr>
            </w:pPr>
          </w:p>
        </w:tc>
      </w:tr>
      <w:tr w:rsidR="00473B07" w:rsidRPr="00473B07" w14:paraId="4AB86B52" w14:textId="77777777" w:rsidTr="00473B07">
        <w:tc>
          <w:tcPr>
            <w:tcW w:w="2830" w:type="dxa"/>
            <w:shd w:val="clear" w:color="auto" w:fill="D0CECE" w:themeFill="background2" w:themeFillShade="E6"/>
          </w:tcPr>
          <w:p w14:paraId="26CA466D" w14:textId="77777777" w:rsidR="00D17436" w:rsidRPr="00473B07" w:rsidRDefault="00D17436" w:rsidP="000E2F24">
            <w:pPr>
              <w:jc w:val="both"/>
              <w:rPr>
                <w:rFonts w:ascii="Calibri" w:hAnsi="Calibri" w:cs="Arial"/>
                <w:bCs/>
                <w:color w:val="000000" w:themeColor="text1"/>
                <w:sz w:val="18"/>
                <w:szCs w:val="18"/>
              </w:rPr>
            </w:pPr>
            <w:r w:rsidRPr="00473B07">
              <w:rPr>
                <w:rFonts w:ascii="Calibri" w:hAnsi="Calibri" w:cs="Arial"/>
                <w:bCs/>
                <w:color w:val="000000" w:themeColor="text1"/>
                <w:sz w:val="18"/>
                <w:szCs w:val="18"/>
              </w:rPr>
              <w:t>Fax</w:t>
            </w:r>
          </w:p>
        </w:tc>
        <w:tc>
          <w:tcPr>
            <w:tcW w:w="5664" w:type="dxa"/>
          </w:tcPr>
          <w:p w14:paraId="38FC8649" w14:textId="77777777" w:rsidR="00D17436" w:rsidRPr="00473B07" w:rsidRDefault="00D17436" w:rsidP="000E2F24">
            <w:pPr>
              <w:spacing w:line="360" w:lineRule="auto"/>
              <w:jc w:val="both"/>
              <w:rPr>
                <w:rFonts w:ascii="Calibri" w:hAnsi="Calibri" w:cs="Arial"/>
                <w:b/>
                <w:bCs/>
                <w:color w:val="000000" w:themeColor="text1"/>
                <w:sz w:val="20"/>
                <w:szCs w:val="20"/>
              </w:rPr>
            </w:pPr>
          </w:p>
        </w:tc>
      </w:tr>
      <w:tr w:rsidR="00473B07" w:rsidRPr="00473B07" w14:paraId="2FC4F21E" w14:textId="77777777" w:rsidTr="00473B07">
        <w:tc>
          <w:tcPr>
            <w:tcW w:w="2830" w:type="dxa"/>
            <w:shd w:val="clear" w:color="auto" w:fill="D0CECE" w:themeFill="background2" w:themeFillShade="E6"/>
          </w:tcPr>
          <w:p w14:paraId="1FFA0999" w14:textId="77777777" w:rsidR="00D17436" w:rsidRPr="00473B07" w:rsidRDefault="00D17436" w:rsidP="000E2F24">
            <w:pPr>
              <w:jc w:val="both"/>
              <w:rPr>
                <w:rFonts w:ascii="Calibri" w:hAnsi="Calibri" w:cs="Arial"/>
                <w:bCs/>
                <w:color w:val="000000" w:themeColor="text1"/>
                <w:sz w:val="18"/>
                <w:szCs w:val="18"/>
              </w:rPr>
            </w:pPr>
            <w:r w:rsidRPr="00473B07">
              <w:rPr>
                <w:rFonts w:ascii="Calibri" w:hAnsi="Calibri" w:cs="Arial"/>
                <w:bCs/>
                <w:color w:val="000000" w:themeColor="text1"/>
                <w:sz w:val="18"/>
                <w:szCs w:val="18"/>
              </w:rPr>
              <w:t>Indirizzo e-mail</w:t>
            </w:r>
          </w:p>
        </w:tc>
        <w:tc>
          <w:tcPr>
            <w:tcW w:w="5664" w:type="dxa"/>
          </w:tcPr>
          <w:p w14:paraId="564F0022" w14:textId="77777777" w:rsidR="00D17436" w:rsidRPr="00473B07" w:rsidRDefault="00D17436" w:rsidP="000E2F24">
            <w:pPr>
              <w:spacing w:line="360" w:lineRule="auto"/>
              <w:jc w:val="both"/>
              <w:rPr>
                <w:rFonts w:ascii="Calibri" w:hAnsi="Calibri" w:cs="Arial"/>
                <w:b/>
                <w:bCs/>
                <w:color w:val="000000" w:themeColor="text1"/>
                <w:sz w:val="20"/>
                <w:szCs w:val="20"/>
              </w:rPr>
            </w:pPr>
          </w:p>
        </w:tc>
      </w:tr>
      <w:tr w:rsidR="00473B07" w:rsidRPr="00473B07" w14:paraId="0952EE5C" w14:textId="77777777" w:rsidTr="00473B07">
        <w:tc>
          <w:tcPr>
            <w:tcW w:w="2830" w:type="dxa"/>
            <w:shd w:val="clear" w:color="auto" w:fill="D0CECE" w:themeFill="background2" w:themeFillShade="E6"/>
          </w:tcPr>
          <w:p w14:paraId="3189339A" w14:textId="77777777" w:rsidR="00D17436" w:rsidRPr="00473B07" w:rsidRDefault="00D17436" w:rsidP="000E2F24">
            <w:pPr>
              <w:jc w:val="both"/>
              <w:rPr>
                <w:rFonts w:ascii="Calibri" w:hAnsi="Calibri" w:cs="Arial"/>
                <w:bCs/>
                <w:color w:val="000000" w:themeColor="text1"/>
                <w:sz w:val="18"/>
                <w:szCs w:val="18"/>
              </w:rPr>
            </w:pPr>
            <w:r w:rsidRPr="00473B07">
              <w:rPr>
                <w:rFonts w:ascii="Calibri" w:hAnsi="Calibri" w:cs="Arial"/>
                <w:bCs/>
                <w:color w:val="000000" w:themeColor="text1"/>
                <w:sz w:val="18"/>
                <w:szCs w:val="18"/>
              </w:rPr>
              <w:t>Data compilazione del questionario</w:t>
            </w:r>
          </w:p>
        </w:tc>
        <w:tc>
          <w:tcPr>
            <w:tcW w:w="5664" w:type="dxa"/>
          </w:tcPr>
          <w:p w14:paraId="778D7874" w14:textId="77777777" w:rsidR="00D17436" w:rsidRPr="00473B07" w:rsidRDefault="00D17436" w:rsidP="000E2F24">
            <w:pPr>
              <w:spacing w:line="360" w:lineRule="auto"/>
              <w:jc w:val="both"/>
              <w:rPr>
                <w:rFonts w:ascii="Calibri" w:hAnsi="Calibri" w:cs="Arial"/>
                <w:b/>
                <w:bCs/>
                <w:color w:val="000000" w:themeColor="text1"/>
                <w:sz w:val="20"/>
                <w:szCs w:val="20"/>
              </w:rPr>
            </w:pPr>
          </w:p>
        </w:tc>
      </w:tr>
    </w:tbl>
    <w:p w14:paraId="5113D5CC" w14:textId="77777777" w:rsidR="00692B5A" w:rsidRPr="00BB4433" w:rsidRDefault="00692B5A" w:rsidP="000E2F24">
      <w:pPr>
        <w:pStyle w:val="Titolo1"/>
        <w:jc w:val="both"/>
      </w:pPr>
      <w:r w:rsidRPr="00BB4433">
        <w:t>Informativa sul trattamento dei dati personali</w:t>
      </w:r>
    </w:p>
    <w:p w14:paraId="54E29BF9" w14:textId="161045C8" w:rsidR="00692B5A" w:rsidRPr="00692B5A" w:rsidRDefault="00692B5A" w:rsidP="000E2F24">
      <w:pPr>
        <w:jc w:val="both"/>
      </w:pPr>
      <w:r w:rsidRPr="00692B5A">
        <w:t xml:space="preserve">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w:t>
      </w:r>
      <w:r w:rsidRPr="00692B5A">
        <w:lastRenderedPageBreak/>
        <w:t xml:space="preserve">fine di consentire la Vostra partecipazione all’ attività di </w:t>
      </w:r>
      <w:r w:rsidR="006213B5" w:rsidRPr="00692B5A">
        <w:t>Consultazione</w:t>
      </w:r>
      <w:r w:rsidRPr="00692B5A">
        <w:t xml:space="preserve"> del </w:t>
      </w:r>
      <w:r w:rsidR="006213B5" w:rsidRPr="00692B5A">
        <w:t>Mercato</w:t>
      </w:r>
      <w:r w:rsidRPr="00692B5A">
        <w:t xml:space="preserve"> sopradetta, nell’ambito della quale, a titolo esemplificativo, rientrano la definizione della strategia di acquisto della merceologia, le ricerche di mercato nello specifico settore merceologico, le analisi economiche e statistiche. </w:t>
      </w:r>
    </w:p>
    <w:p w14:paraId="1486773D" w14:textId="77777777" w:rsidR="00692B5A" w:rsidRPr="00692B5A" w:rsidRDefault="00692B5A" w:rsidP="000E2F24">
      <w:pPr>
        <w:jc w:val="both"/>
      </w:pPr>
      <w:r w:rsidRPr="00692B5A">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05991DCE" w14:textId="30FAACB1" w:rsidR="00692B5A" w:rsidRPr="00692B5A" w:rsidRDefault="004A6265" w:rsidP="000E2F24">
      <w:pPr>
        <w:jc w:val="both"/>
      </w:pPr>
      <w:r>
        <w:t>L</w:t>
      </w:r>
      <w:r w:rsidR="00692B5A" w:rsidRPr="00692B5A">
        <w:t xml:space="preserve">'eventuale rifiuto di fornire </w:t>
      </w:r>
      <w:r>
        <w:t xml:space="preserve">i </w:t>
      </w:r>
      <w:r w:rsidR="003873F7">
        <w:t>D</w:t>
      </w:r>
      <w:r>
        <w:t xml:space="preserve">ati </w:t>
      </w:r>
      <w:r w:rsidR="009753F7">
        <w:t>in argomento</w:t>
      </w:r>
      <w:r w:rsidR="00692B5A" w:rsidRPr="00692B5A">
        <w:t xml:space="preserve"> comporta l'impossibilità di acquisire da parte Vostra, le informazioni per una più compiuta conoscenza del mercato</w:t>
      </w:r>
      <w:r w:rsidR="00692B5A" w:rsidRPr="00692B5A" w:rsidDel="00834F93">
        <w:t xml:space="preserve"> </w:t>
      </w:r>
      <w:r w:rsidR="00692B5A" w:rsidRPr="00692B5A">
        <w:t>relativamente alla Vostra azienda.</w:t>
      </w:r>
    </w:p>
    <w:p w14:paraId="5E19159E" w14:textId="77777777" w:rsidR="00692B5A" w:rsidRPr="00692B5A" w:rsidRDefault="00692B5A" w:rsidP="000E2F24">
      <w:pPr>
        <w:jc w:val="both"/>
      </w:pPr>
      <w:r w:rsidRPr="00692B5A">
        <w:t>I Dati saranno conservati in archivi informatici e cartacei per un periodo di tempo non superiore a quello necessario agli scopi per i quali sono stati raccolti o successivamente trattati, conformemente a quanto previsto dagli obblighi di legge.</w:t>
      </w:r>
    </w:p>
    <w:p w14:paraId="035F2791" w14:textId="7C6A6780" w:rsidR="00692B5A" w:rsidRPr="00692B5A" w:rsidRDefault="00692B5A" w:rsidP="000E2F24">
      <w:pPr>
        <w:jc w:val="both"/>
      </w:pPr>
      <w:r w:rsidRPr="00692B5A">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w:t>
      </w:r>
      <w:r w:rsidR="003A2ABA">
        <w:t>R</w:t>
      </w:r>
      <w:r w:rsidRPr="00692B5A">
        <w:t xml:space="preserve">egolamento UE. </w:t>
      </w:r>
    </w:p>
    <w:p w14:paraId="747D9EFE" w14:textId="77777777" w:rsidR="00692B5A" w:rsidRPr="00692B5A" w:rsidRDefault="00692B5A" w:rsidP="000E2F24">
      <w:pPr>
        <w:jc w:val="both"/>
      </w:pPr>
      <w:r w:rsidRPr="00692B5A">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124974C1" w14:textId="5863CF29" w:rsidR="00692B5A" w:rsidRPr="00692B5A" w:rsidRDefault="00692B5A" w:rsidP="000E2F24">
      <w:pPr>
        <w:jc w:val="both"/>
      </w:pPr>
      <w:r w:rsidRPr="00692B5A">
        <w:t xml:space="preserve">L’invio </w:t>
      </w:r>
      <w:r w:rsidR="003A3768">
        <w:t>al Comune di Cuneo</w:t>
      </w:r>
      <w:r w:rsidRPr="00692B5A">
        <w:t xml:space="preserve"> del </w:t>
      </w:r>
      <w:r w:rsidR="00C37E45">
        <w:t>d</w:t>
      </w:r>
      <w:r w:rsidRPr="00692B5A">
        <w:t xml:space="preserve">ocumento di Consultazione del </w:t>
      </w:r>
      <w:r w:rsidR="00C37E45">
        <w:t>M</w:t>
      </w:r>
      <w:r w:rsidRPr="00692B5A">
        <w:t>ercato implica il consenso al trattamento dei Dati personali forniti.</w:t>
      </w:r>
    </w:p>
    <w:p w14:paraId="08E2CBE8" w14:textId="2B478287" w:rsidR="005D3730" w:rsidRDefault="00692B5A" w:rsidP="000E2F24">
      <w:pPr>
        <w:jc w:val="both"/>
      </w:pPr>
      <w:r w:rsidRPr="00692B5A">
        <w:t xml:space="preserve">Titolare del trattamento dei dati è </w:t>
      </w:r>
      <w:r w:rsidR="00E7468D">
        <w:t>il Comune di Cuneo</w:t>
      </w:r>
      <w:r w:rsidRPr="00692B5A">
        <w:t xml:space="preserve">, con sede in </w:t>
      </w:r>
      <w:r w:rsidR="00CE1621">
        <w:t>v</w:t>
      </w:r>
      <w:r w:rsidR="00CE1621" w:rsidRPr="00CE1621">
        <w:t>ia Roma 28</w:t>
      </w:r>
      <w:r w:rsidR="00D8243A">
        <w:t xml:space="preserve">, </w:t>
      </w:r>
      <w:r w:rsidR="00CE1621" w:rsidRPr="00CE1621">
        <w:t>Cuneo</w:t>
      </w:r>
      <w:r w:rsidRPr="00692B5A">
        <w:t xml:space="preserve">. Le richieste per l’esercizio dei diritti riconosciuti di cui agli artt. da 15 a 23 del </w:t>
      </w:r>
      <w:r w:rsidR="00D74641">
        <w:t>R</w:t>
      </w:r>
      <w:r w:rsidRPr="00692B5A">
        <w:t>egolamento UE, potranno essere avanzate al Responsabile della protezione dei dati al seguente indirizzo di posta elettronica</w:t>
      </w:r>
      <w:r w:rsidR="001B51AB">
        <w:t>:</w:t>
      </w:r>
      <w:r w:rsidRPr="00692B5A">
        <w:t xml:space="preserve"> </w:t>
      </w:r>
      <w:r w:rsidR="001B51AB" w:rsidRPr="00B85001">
        <w:t>dpo@comune.cuneo.it.</w:t>
      </w:r>
      <w:bookmarkStart w:id="0" w:name="_GoBack"/>
      <w:bookmarkEnd w:id="0"/>
    </w:p>
    <w:p w14:paraId="5FC28D42" w14:textId="011B79B4" w:rsidR="00591727" w:rsidRPr="00BB4433" w:rsidRDefault="000F4539" w:rsidP="0019617D">
      <w:pPr>
        <w:pStyle w:val="Titolo1"/>
      </w:pPr>
      <w:r>
        <w:t>Fabbisogni dell’Ente e b</w:t>
      </w:r>
      <w:r w:rsidR="00591727" w:rsidRPr="00BB4433">
        <w:t>reve descrizione dell’iniziativa</w:t>
      </w:r>
    </w:p>
    <w:p w14:paraId="008874B4" w14:textId="30A39451" w:rsidR="00077E3E" w:rsidRDefault="008E5AB3" w:rsidP="000E2F24">
      <w:pPr>
        <w:jc w:val="both"/>
      </w:pPr>
      <w:r>
        <w:t xml:space="preserve">Il Comune di Cuneo ha necessità </w:t>
      </w:r>
      <w:r w:rsidRPr="003F0593">
        <w:t>di sostituire</w:t>
      </w:r>
      <w:r>
        <w:t xml:space="preserve"> </w:t>
      </w:r>
      <w:r w:rsidR="00875AC5">
        <w:t>gli applicativi attualmente in uso alle seguenti aree:</w:t>
      </w:r>
    </w:p>
    <w:p w14:paraId="31DB1E2B" w14:textId="1EEB041C" w:rsidR="00BE23BF" w:rsidRPr="00B97C28" w:rsidRDefault="00BE23BF" w:rsidP="000E2F24">
      <w:pPr>
        <w:pStyle w:val="Paragrafoelenco"/>
        <w:numPr>
          <w:ilvl w:val="0"/>
          <w:numId w:val="3"/>
        </w:numPr>
        <w:jc w:val="both"/>
      </w:pPr>
      <w:r w:rsidRPr="00B97C28">
        <w:t>Risorse Umane (</w:t>
      </w:r>
      <w:r w:rsidR="00B97C28" w:rsidRPr="00B97C28">
        <w:t xml:space="preserve">Gestione </w:t>
      </w:r>
      <w:r w:rsidRPr="00B97C28">
        <w:t>Giuridica ed Economica)</w:t>
      </w:r>
    </w:p>
    <w:p w14:paraId="3E211819" w14:textId="1FEE80AA" w:rsidR="00BE23BF" w:rsidRPr="00B97C28" w:rsidRDefault="00BE23BF" w:rsidP="000E2F24">
      <w:pPr>
        <w:pStyle w:val="Paragrafoelenco"/>
        <w:numPr>
          <w:ilvl w:val="0"/>
          <w:numId w:val="3"/>
        </w:numPr>
        <w:jc w:val="both"/>
      </w:pPr>
      <w:r w:rsidRPr="00B97C28">
        <w:t>Contabilità e Bilancio (</w:t>
      </w:r>
      <w:r w:rsidR="006B6BB4" w:rsidRPr="00B97C28">
        <w:rPr>
          <w:rFonts w:ascii="Calibri" w:hAnsi="Calibri" w:cs="Calibri"/>
          <w:color w:val="000000"/>
        </w:rPr>
        <w:t>Contabilità finanziaria e fiscale</w:t>
      </w:r>
      <w:r w:rsidRPr="00B97C28">
        <w:t>, Contabilità Economi</w:t>
      </w:r>
      <w:r w:rsidR="00C823A9" w:rsidRPr="00B97C28">
        <w:t>ca</w:t>
      </w:r>
      <w:r w:rsidRPr="00B97C28">
        <w:t>, Controllo di Gestione</w:t>
      </w:r>
      <w:r w:rsidR="00884640" w:rsidRPr="00B97C28">
        <w:t>, Procedura P</w:t>
      </w:r>
      <w:r w:rsidR="00C823A9" w:rsidRPr="00B97C28">
        <w:t xml:space="preserve">atrimonio e </w:t>
      </w:r>
      <w:r w:rsidRPr="00B97C28">
        <w:t>Inventario)</w:t>
      </w:r>
    </w:p>
    <w:p w14:paraId="16A64952" w14:textId="369C93F5" w:rsidR="00BE23BF" w:rsidRDefault="00BE23BF" w:rsidP="000E2F24">
      <w:pPr>
        <w:pStyle w:val="Paragrafoelenco"/>
        <w:numPr>
          <w:ilvl w:val="0"/>
          <w:numId w:val="3"/>
        </w:numPr>
        <w:jc w:val="both"/>
      </w:pPr>
      <w:r w:rsidRPr="00B97C28">
        <w:t>Affari Generali (Protocollo</w:t>
      </w:r>
      <w:r>
        <w:t xml:space="preserve"> e Archivio, Atti Amministrativi e Albo on-line</w:t>
      </w:r>
      <w:r w:rsidR="00400370">
        <w:t>, Messi Notificatori</w:t>
      </w:r>
      <w:r>
        <w:t>)</w:t>
      </w:r>
    </w:p>
    <w:p w14:paraId="78AF79B6" w14:textId="3CAB803E" w:rsidR="002E2341" w:rsidRDefault="00116148" w:rsidP="000E2F24">
      <w:pPr>
        <w:jc w:val="both"/>
      </w:pPr>
      <w:r>
        <w:t>È inoltre prevista l’acquisizione dei servizi connessi</w:t>
      </w:r>
      <w:r w:rsidR="00DE5EEB">
        <w:t xml:space="preserve"> quali</w:t>
      </w:r>
      <w:r w:rsidR="00604F80">
        <w:t>, a titolo d’esempio</w:t>
      </w:r>
      <w:r w:rsidR="00DE5EEB">
        <w:t>:</w:t>
      </w:r>
    </w:p>
    <w:p w14:paraId="7DB05DBF" w14:textId="2076628D" w:rsidR="002E2341" w:rsidRPr="002E2341" w:rsidRDefault="002E2341" w:rsidP="000E2F24">
      <w:pPr>
        <w:pStyle w:val="Paragrafoelenco"/>
        <w:numPr>
          <w:ilvl w:val="0"/>
          <w:numId w:val="3"/>
        </w:numPr>
        <w:jc w:val="both"/>
      </w:pPr>
      <w:r w:rsidRPr="002E2341">
        <w:t>Installazione, attivazione e configurazione della soluzione</w:t>
      </w:r>
    </w:p>
    <w:p w14:paraId="72096E22" w14:textId="77777777" w:rsidR="002E2341" w:rsidRPr="00604F80" w:rsidRDefault="002E2341" w:rsidP="000E2F24">
      <w:pPr>
        <w:pStyle w:val="Paragrafoelenco"/>
        <w:numPr>
          <w:ilvl w:val="0"/>
          <w:numId w:val="3"/>
        </w:numPr>
        <w:jc w:val="both"/>
      </w:pPr>
      <w:r w:rsidRPr="002E2341">
        <w:t xml:space="preserve">Recupero, normalizzazione dei dati in uso alle procedure attuali e migrazione nei nuovi archivi </w:t>
      </w:r>
      <w:r w:rsidRPr="00604F80">
        <w:t>applicativi</w:t>
      </w:r>
    </w:p>
    <w:p w14:paraId="6ED2F108" w14:textId="2A270344" w:rsidR="002E2341" w:rsidRPr="00604F80" w:rsidRDefault="004809B7" w:rsidP="000E2F24">
      <w:pPr>
        <w:pStyle w:val="Paragrafoelenco"/>
        <w:numPr>
          <w:ilvl w:val="0"/>
          <w:numId w:val="3"/>
        </w:numPr>
        <w:jc w:val="both"/>
      </w:pPr>
      <w:r w:rsidRPr="00604F80">
        <w:t>S</w:t>
      </w:r>
      <w:r w:rsidR="002E2341" w:rsidRPr="00604F80">
        <w:t xml:space="preserve">ervizi di personalizzazione degli applicativi, quando difformi rispetto ai processi di lavoro dell’ente </w:t>
      </w:r>
    </w:p>
    <w:p w14:paraId="2D75A24A" w14:textId="7EDAB9ED" w:rsidR="002E2341" w:rsidRPr="00604F80" w:rsidRDefault="004809B7" w:rsidP="000E2F24">
      <w:pPr>
        <w:pStyle w:val="Paragrafoelenco"/>
        <w:numPr>
          <w:ilvl w:val="0"/>
          <w:numId w:val="3"/>
        </w:numPr>
        <w:jc w:val="both"/>
      </w:pPr>
      <w:r w:rsidRPr="00604F80">
        <w:t>S</w:t>
      </w:r>
      <w:r w:rsidR="002E2341" w:rsidRPr="00604F80">
        <w:t>ervizi di formazione del personale dell’ente all’uso dei nuovi applicativi</w:t>
      </w:r>
    </w:p>
    <w:p w14:paraId="14DFB765" w14:textId="77777777" w:rsidR="002E2341" w:rsidRPr="00604F80" w:rsidRDefault="002E2341" w:rsidP="000E2F24">
      <w:pPr>
        <w:pStyle w:val="Paragrafoelenco"/>
        <w:numPr>
          <w:ilvl w:val="0"/>
          <w:numId w:val="3"/>
        </w:numPr>
        <w:jc w:val="both"/>
      </w:pPr>
      <w:r w:rsidRPr="00604F80">
        <w:lastRenderedPageBreak/>
        <w:t>Servizi di assistenza in remoto e in presenza</w:t>
      </w:r>
    </w:p>
    <w:p w14:paraId="658B4E3E" w14:textId="3200152A" w:rsidR="002E2341" w:rsidRPr="00604F80" w:rsidRDefault="004809B7" w:rsidP="000E2F24">
      <w:pPr>
        <w:pStyle w:val="Paragrafoelenco"/>
        <w:numPr>
          <w:ilvl w:val="0"/>
          <w:numId w:val="3"/>
        </w:numPr>
        <w:jc w:val="both"/>
      </w:pPr>
      <w:r w:rsidRPr="00604F80">
        <w:t>S</w:t>
      </w:r>
      <w:r w:rsidR="002E2341" w:rsidRPr="00604F80">
        <w:t xml:space="preserve">ervizi di manutenzione correttiva ed adeguativa </w:t>
      </w:r>
    </w:p>
    <w:p w14:paraId="2C459557" w14:textId="258615CB" w:rsidR="002E2341" w:rsidRPr="00604F80" w:rsidRDefault="002E2341" w:rsidP="000E2F24">
      <w:pPr>
        <w:pStyle w:val="Paragrafoelenco"/>
        <w:numPr>
          <w:ilvl w:val="0"/>
          <w:numId w:val="3"/>
        </w:numPr>
        <w:jc w:val="both"/>
      </w:pPr>
      <w:r w:rsidRPr="00604F80">
        <w:t>Servizi di manutenzione evolutiva</w:t>
      </w:r>
    </w:p>
    <w:p w14:paraId="2B66547B" w14:textId="77777777" w:rsidR="00D1595E" w:rsidRDefault="006F5228" w:rsidP="000E2F24">
      <w:pPr>
        <w:jc w:val="both"/>
      </w:pPr>
      <w:r>
        <w:t>Il servizio dovrà essere erogato in modalità SaaS</w:t>
      </w:r>
      <w:r w:rsidR="00C33FB5">
        <w:t xml:space="preserve"> tramite </w:t>
      </w:r>
      <w:r w:rsidR="00446083">
        <w:t xml:space="preserve">infrastruttura CSP qualificata da </w:t>
      </w:r>
      <w:proofErr w:type="spellStart"/>
      <w:r w:rsidR="00446083">
        <w:t>AgID</w:t>
      </w:r>
      <w:proofErr w:type="spellEnd"/>
      <w:r>
        <w:t>.</w:t>
      </w:r>
    </w:p>
    <w:p w14:paraId="23FED2E2" w14:textId="4A6DF63E" w:rsidR="00D55500" w:rsidRDefault="008D04F6" w:rsidP="000E2F24">
      <w:pPr>
        <w:jc w:val="both"/>
      </w:pPr>
      <w:r>
        <w:t xml:space="preserve">La presente </w:t>
      </w:r>
      <w:r w:rsidR="00227D22" w:rsidRPr="00EF1670">
        <w:t>Con</w:t>
      </w:r>
      <w:r w:rsidR="008045CD" w:rsidRPr="00EF1670">
        <w:t xml:space="preserve">sultazione di </w:t>
      </w:r>
      <w:r w:rsidR="00227D22" w:rsidRPr="00EF1670">
        <w:t>M</w:t>
      </w:r>
      <w:r w:rsidR="00227D22">
        <w:t>e</w:t>
      </w:r>
      <w:r w:rsidR="008045CD" w:rsidRPr="00EF1670">
        <w:t xml:space="preserve">rcato </w:t>
      </w:r>
      <w:r w:rsidR="00F60509" w:rsidRPr="00EF1670">
        <w:t xml:space="preserve">ha quindi l’obiettivo di rendere noto agli Operatori di mercato delle </w:t>
      </w:r>
      <w:r w:rsidR="0008571F" w:rsidRPr="00EF1670">
        <w:t>suddette necessità dell</w:t>
      </w:r>
      <w:r w:rsidR="000C7E42" w:rsidRPr="00EF1670">
        <w:t xml:space="preserve">’Ente e di </w:t>
      </w:r>
      <w:r w:rsidR="005110CE" w:rsidRPr="00EF1670">
        <w:t>realizzare l’acqui</w:t>
      </w:r>
      <w:r w:rsidR="006137A7" w:rsidRPr="00EF1670">
        <w:t>siz</w:t>
      </w:r>
      <w:r w:rsidR="005110CE" w:rsidRPr="00EF1670">
        <w:t>ione</w:t>
      </w:r>
      <w:r w:rsidR="006137A7" w:rsidRPr="00EF1670">
        <w:t xml:space="preserve"> dei prodotti e servizi </w:t>
      </w:r>
      <w:r w:rsidR="00EF1670" w:rsidRPr="00EF1670">
        <w:t xml:space="preserve">in oggetto </w:t>
      </w:r>
      <w:r w:rsidR="005110CE" w:rsidRPr="00EF1670">
        <w:t>secondo i migliori criteri tecnici e concorrenziali</w:t>
      </w:r>
      <w:r w:rsidR="00EF1670" w:rsidRPr="00EF1670">
        <w:t>,</w:t>
      </w:r>
      <w:r w:rsidR="00655C20" w:rsidRPr="00EF1670">
        <w:t xml:space="preserve"> attraverso </w:t>
      </w:r>
      <w:r w:rsidR="00AC355C" w:rsidRPr="00EF1670">
        <w:t>l’esercizio della leale collaborazione tra pubblico e privato</w:t>
      </w:r>
      <w:r w:rsidR="006137A7" w:rsidRPr="00EF1670">
        <w:t>.</w:t>
      </w:r>
    </w:p>
    <w:p w14:paraId="7987AB19" w14:textId="3ECB375F" w:rsidR="00741067" w:rsidRDefault="009776D1" w:rsidP="000E2F24">
      <w:pPr>
        <w:pStyle w:val="Titolo1"/>
        <w:jc w:val="both"/>
      </w:pPr>
      <w:r>
        <w:t>Questionario</w:t>
      </w:r>
    </w:p>
    <w:p w14:paraId="15180B22" w14:textId="3959443D" w:rsidR="009776D1" w:rsidRDefault="009A63F9" w:rsidP="000E2F24">
      <w:pPr>
        <w:pStyle w:val="Titolo2"/>
        <w:jc w:val="both"/>
      </w:pPr>
      <w:r>
        <w:t>Azienda</w:t>
      </w:r>
    </w:p>
    <w:p w14:paraId="0ABC1DB4" w14:textId="2F3C4925" w:rsidR="004C029D" w:rsidRDefault="00B82841" w:rsidP="000E2F24">
      <w:pPr>
        <w:pStyle w:val="Paragrafoelenco"/>
        <w:numPr>
          <w:ilvl w:val="0"/>
          <w:numId w:val="5"/>
        </w:numPr>
        <w:jc w:val="both"/>
      </w:pPr>
      <w:r>
        <w:t>Fatturat</w:t>
      </w:r>
      <w:r w:rsidRPr="00370741">
        <w:t>o globale minimo annuo riferito a ciascuno degli ultimi n. 3 esercizi finanziari</w:t>
      </w:r>
      <w:r w:rsidR="00F41EC4" w:rsidRPr="00370741">
        <w:t xml:space="preserve"> (</w:t>
      </w:r>
      <w:r w:rsidR="00B16FBA" w:rsidRPr="00370741">
        <w:t>201</w:t>
      </w:r>
      <w:r w:rsidR="00D26DD8" w:rsidRPr="00370741">
        <w:t>6</w:t>
      </w:r>
      <w:r w:rsidR="00B16FBA" w:rsidRPr="00370741">
        <w:t>-201</w:t>
      </w:r>
      <w:r w:rsidR="00D26DD8" w:rsidRPr="00370741">
        <w:t>7</w:t>
      </w:r>
      <w:r w:rsidR="00B16FBA" w:rsidRPr="00370741">
        <w:t>-2</w:t>
      </w:r>
      <w:r w:rsidR="00ED4E0B" w:rsidRPr="00370741">
        <w:t>0</w:t>
      </w:r>
      <w:r w:rsidR="00B16FBA" w:rsidRPr="00370741">
        <w:t>1</w:t>
      </w:r>
      <w:r w:rsidR="00D26DD8" w:rsidRPr="00370741">
        <w:t>8</w:t>
      </w:r>
      <w:r w:rsidR="00B16FBA" w:rsidRPr="00370741">
        <w:t>)</w:t>
      </w:r>
      <w:r w:rsidR="00D9232B" w:rsidRPr="00370741">
        <w:t>.</w:t>
      </w:r>
    </w:p>
    <w:tbl>
      <w:tblPr>
        <w:tblStyle w:val="Grigliatabella"/>
        <w:tblW w:w="0" w:type="auto"/>
        <w:tblLook w:val="04A0" w:firstRow="1" w:lastRow="0" w:firstColumn="1" w:lastColumn="0" w:noHBand="0" w:noVBand="1"/>
      </w:tblPr>
      <w:tblGrid>
        <w:gridCol w:w="9628"/>
      </w:tblGrid>
      <w:tr w:rsidR="0046469F" w14:paraId="2EAAE937" w14:textId="77777777" w:rsidTr="007B4EE7">
        <w:trPr>
          <w:trHeight w:val="1701"/>
        </w:trPr>
        <w:tc>
          <w:tcPr>
            <w:tcW w:w="9628" w:type="dxa"/>
          </w:tcPr>
          <w:p w14:paraId="453C202B" w14:textId="77777777" w:rsidR="0046469F" w:rsidRDefault="0046469F" w:rsidP="000E2F24">
            <w:pPr>
              <w:jc w:val="both"/>
            </w:pPr>
          </w:p>
        </w:tc>
      </w:tr>
    </w:tbl>
    <w:p w14:paraId="449FB20F" w14:textId="77777777" w:rsidR="00737EB8" w:rsidRDefault="00737EB8" w:rsidP="000E2F24">
      <w:pPr>
        <w:jc w:val="both"/>
      </w:pPr>
    </w:p>
    <w:p w14:paraId="307108FC" w14:textId="16B77916" w:rsidR="006C6061" w:rsidRPr="0095219F" w:rsidRDefault="006C6061" w:rsidP="000E2F24">
      <w:pPr>
        <w:pStyle w:val="Paragrafoelenco"/>
        <w:numPr>
          <w:ilvl w:val="0"/>
          <w:numId w:val="5"/>
        </w:numPr>
        <w:jc w:val="both"/>
      </w:pPr>
      <w:r w:rsidRPr="0095219F">
        <w:t xml:space="preserve">Fatturato specifico </w:t>
      </w:r>
      <w:r w:rsidR="00A23A6F" w:rsidRPr="0095219F">
        <w:t xml:space="preserve">di impresa </w:t>
      </w:r>
      <w:r w:rsidRPr="0095219F">
        <w:t xml:space="preserve">per </w:t>
      </w:r>
      <w:r w:rsidR="008558CB" w:rsidRPr="0095219F">
        <w:t>servizi analoghi a quelli oggetto di consultazione</w:t>
      </w:r>
      <w:r w:rsidR="00A05356" w:rsidRPr="0095219F">
        <w:t xml:space="preserve">, </w:t>
      </w:r>
      <w:r w:rsidR="00161EC4" w:rsidRPr="0095219F">
        <w:t>riferito a ciascuno</w:t>
      </w:r>
      <w:r w:rsidR="00965D36" w:rsidRPr="0095219F">
        <w:t xml:space="preserve"> </w:t>
      </w:r>
      <w:r w:rsidR="00161EC4" w:rsidRPr="0095219F">
        <w:t xml:space="preserve">degli ultimi n. 3 esercizi </w:t>
      </w:r>
      <w:r w:rsidR="00161EC4" w:rsidRPr="001B3A6C">
        <w:t xml:space="preserve">finanziari </w:t>
      </w:r>
      <w:r w:rsidR="00D26DD8" w:rsidRPr="001B3A6C">
        <w:t>(2016-2017-2018)</w:t>
      </w:r>
      <w:r w:rsidR="001E455B" w:rsidRPr="0095219F">
        <w:t xml:space="preserve"> in favore di</w:t>
      </w:r>
      <w:r w:rsidR="00965D36" w:rsidRPr="0095219F">
        <w:t xml:space="preserve"> </w:t>
      </w:r>
      <w:r w:rsidR="001E455B" w:rsidRPr="0095219F">
        <w:t>Enti pubblic</w:t>
      </w:r>
      <w:r w:rsidR="001E455B" w:rsidRPr="001B3A6C">
        <w:t>i</w:t>
      </w:r>
      <w:r w:rsidR="00876451" w:rsidRPr="001B3A6C">
        <w:t>.</w:t>
      </w:r>
    </w:p>
    <w:tbl>
      <w:tblPr>
        <w:tblStyle w:val="Grigliatabella"/>
        <w:tblW w:w="0" w:type="auto"/>
        <w:tblLook w:val="04A0" w:firstRow="1" w:lastRow="0" w:firstColumn="1" w:lastColumn="0" w:noHBand="0" w:noVBand="1"/>
      </w:tblPr>
      <w:tblGrid>
        <w:gridCol w:w="9628"/>
      </w:tblGrid>
      <w:tr w:rsidR="008B7873" w14:paraId="577A555D" w14:textId="77777777" w:rsidTr="008B7873">
        <w:trPr>
          <w:trHeight w:val="1701"/>
        </w:trPr>
        <w:tc>
          <w:tcPr>
            <w:tcW w:w="9628" w:type="dxa"/>
          </w:tcPr>
          <w:p w14:paraId="48A75BD2" w14:textId="77777777" w:rsidR="008B7873" w:rsidRDefault="008B7873" w:rsidP="000E2F24">
            <w:pPr>
              <w:jc w:val="both"/>
              <w:rPr>
                <w:highlight w:val="yellow"/>
              </w:rPr>
            </w:pPr>
          </w:p>
        </w:tc>
      </w:tr>
    </w:tbl>
    <w:p w14:paraId="19D5F47A" w14:textId="2DB7CBB8" w:rsidR="00514AAC" w:rsidRDefault="00BE7ED1" w:rsidP="00BE7ED1">
      <w:pPr>
        <w:jc w:val="both"/>
      </w:pPr>
      <w:r>
        <w:t>Si riportino inoltre</w:t>
      </w:r>
      <w:r w:rsidR="004B5C9B">
        <w:t xml:space="preserve"> nella tabella sottostante</w:t>
      </w:r>
      <w:r w:rsidR="00632097">
        <w:t>,</w:t>
      </w:r>
      <w:r>
        <w:t xml:space="preserve"> i dati di dettaglio</w:t>
      </w:r>
      <w:r w:rsidR="00A47179">
        <w:t xml:space="preserve"> relativi a</w:t>
      </w:r>
      <w:r w:rsidR="00956DDE">
        <w:t>gli Enti pubblici</w:t>
      </w:r>
      <w:r w:rsidR="00A622ED">
        <w:t xml:space="preserve"> in favore dei quali </w:t>
      </w:r>
      <w:r w:rsidR="006955F3">
        <w:t xml:space="preserve">l’Operatore economico abbia erogato </w:t>
      </w:r>
      <w:r w:rsidR="0001267B">
        <w:t>i servizi in argomento</w:t>
      </w:r>
      <w:r w:rsidR="004B5C9B">
        <w:t xml:space="preserve"> </w:t>
      </w:r>
      <w:r w:rsidR="007B5E38">
        <w:t xml:space="preserve">negli ultimi </w:t>
      </w:r>
      <w:r w:rsidR="00490195">
        <w:t xml:space="preserve">n. </w:t>
      </w:r>
      <w:r w:rsidR="008454FA">
        <w:t xml:space="preserve">3 </w:t>
      </w:r>
      <w:r w:rsidR="00490195" w:rsidRPr="0095219F">
        <w:t xml:space="preserve">esercizi </w:t>
      </w:r>
      <w:r w:rsidR="00490195" w:rsidRPr="00EC41D9">
        <w:t xml:space="preserve">finanziari </w:t>
      </w:r>
      <w:r w:rsidR="00D26DD8" w:rsidRPr="00EC41D9">
        <w:t>(2016-2017-2018)</w:t>
      </w:r>
      <w:r w:rsidR="006F2E68" w:rsidRPr="00EC41D9">
        <w:t>,</w:t>
      </w:r>
      <w:r w:rsidR="006F2E68">
        <w:t xml:space="preserve"> completando le celle </w:t>
      </w:r>
      <w:r w:rsidR="005D1DDD">
        <w:t>indicate e aggiungendo eventuali ulteriori righe</w:t>
      </w:r>
      <w:r w:rsidR="00E41A9D">
        <w:t>.</w:t>
      </w:r>
    </w:p>
    <w:tbl>
      <w:tblPr>
        <w:tblStyle w:val="Grigliatabella"/>
        <w:tblW w:w="5000" w:type="pct"/>
        <w:tblLook w:val="04A0" w:firstRow="1" w:lastRow="0" w:firstColumn="1" w:lastColumn="0" w:noHBand="0" w:noVBand="1"/>
      </w:tblPr>
      <w:tblGrid>
        <w:gridCol w:w="421"/>
        <w:gridCol w:w="2174"/>
        <w:gridCol w:w="2265"/>
        <w:gridCol w:w="2644"/>
        <w:gridCol w:w="2124"/>
      </w:tblGrid>
      <w:tr w:rsidR="00554581" w:rsidRPr="00737EB8" w14:paraId="2A78F9E0" w14:textId="77777777" w:rsidTr="00554581">
        <w:tc>
          <w:tcPr>
            <w:tcW w:w="218" w:type="pct"/>
            <w:shd w:val="clear" w:color="auto" w:fill="767171" w:themeFill="background2" w:themeFillShade="80"/>
          </w:tcPr>
          <w:p w14:paraId="1CAD4EB5" w14:textId="53E08655" w:rsidR="00554581" w:rsidRPr="00554581" w:rsidRDefault="00554581" w:rsidP="00810ACC">
            <w:pPr>
              <w:jc w:val="center"/>
              <w:rPr>
                <w:color w:val="FFFFFF" w:themeColor="background1"/>
              </w:rPr>
            </w:pPr>
            <w:r w:rsidRPr="00554581">
              <w:rPr>
                <w:color w:val="FFFFFF" w:themeColor="background1"/>
              </w:rPr>
              <w:t>#</w:t>
            </w:r>
          </w:p>
        </w:tc>
        <w:tc>
          <w:tcPr>
            <w:tcW w:w="1129" w:type="pct"/>
            <w:shd w:val="clear" w:color="auto" w:fill="767171" w:themeFill="background2" w:themeFillShade="80"/>
          </w:tcPr>
          <w:p w14:paraId="3FB135BE" w14:textId="0ACD9639" w:rsidR="00554581" w:rsidRPr="00810ACC" w:rsidRDefault="00554581" w:rsidP="00810ACC">
            <w:pPr>
              <w:jc w:val="center"/>
              <w:rPr>
                <w:b/>
                <w:bCs/>
                <w:color w:val="FFFFFF" w:themeColor="background1"/>
              </w:rPr>
            </w:pPr>
            <w:r w:rsidRPr="00810ACC">
              <w:rPr>
                <w:b/>
                <w:bCs/>
                <w:color w:val="FFFFFF" w:themeColor="background1"/>
              </w:rPr>
              <w:t>Oggetto</w:t>
            </w:r>
          </w:p>
        </w:tc>
        <w:tc>
          <w:tcPr>
            <w:tcW w:w="1176" w:type="pct"/>
            <w:shd w:val="clear" w:color="auto" w:fill="767171" w:themeFill="background2" w:themeFillShade="80"/>
          </w:tcPr>
          <w:p w14:paraId="0C679883" w14:textId="2F18DA94" w:rsidR="00554581" w:rsidRPr="00810ACC" w:rsidRDefault="00554581" w:rsidP="00810ACC">
            <w:pPr>
              <w:jc w:val="center"/>
              <w:rPr>
                <w:b/>
                <w:bCs/>
                <w:color w:val="FFFFFF" w:themeColor="background1"/>
              </w:rPr>
            </w:pPr>
            <w:r w:rsidRPr="00810ACC">
              <w:rPr>
                <w:b/>
                <w:bCs/>
                <w:color w:val="FFFFFF" w:themeColor="background1"/>
              </w:rPr>
              <w:t>Ente</w:t>
            </w:r>
          </w:p>
        </w:tc>
        <w:tc>
          <w:tcPr>
            <w:tcW w:w="1373" w:type="pct"/>
            <w:shd w:val="clear" w:color="auto" w:fill="767171" w:themeFill="background2" w:themeFillShade="80"/>
          </w:tcPr>
          <w:p w14:paraId="7D528EEF" w14:textId="5E8CA30E" w:rsidR="00554581" w:rsidRPr="00810ACC" w:rsidRDefault="00554581" w:rsidP="00810ACC">
            <w:pPr>
              <w:jc w:val="center"/>
              <w:rPr>
                <w:b/>
                <w:bCs/>
                <w:color w:val="FFFFFF" w:themeColor="background1"/>
              </w:rPr>
            </w:pPr>
            <w:r w:rsidRPr="00810ACC">
              <w:rPr>
                <w:b/>
                <w:bCs/>
                <w:color w:val="FFFFFF" w:themeColor="background1"/>
              </w:rPr>
              <w:t>Durata</w:t>
            </w:r>
          </w:p>
        </w:tc>
        <w:tc>
          <w:tcPr>
            <w:tcW w:w="1103" w:type="pct"/>
            <w:shd w:val="clear" w:color="auto" w:fill="767171" w:themeFill="background2" w:themeFillShade="80"/>
          </w:tcPr>
          <w:p w14:paraId="6342739D" w14:textId="775A1230" w:rsidR="00554581" w:rsidRPr="00810ACC" w:rsidRDefault="00554581" w:rsidP="00810ACC">
            <w:pPr>
              <w:jc w:val="center"/>
              <w:rPr>
                <w:b/>
                <w:bCs/>
                <w:color w:val="FFFFFF" w:themeColor="background1"/>
              </w:rPr>
            </w:pPr>
            <w:r w:rsidRPr="00810ACC">
              <w:rPr>
                <w:b/>
                <w:bCs/>
                <w:color w:val="FFFFFF" w:themeColor="background1"/>
              </w:rPr>
              <w:t>Valore</w:t>
            </w:r>
          </w:p>
        </w:tc>
      </w:tr>
      <w:tr w:rsidR="00554581" w:rsidRPr="00737EB8" w14:paraId="74E1C0A1" w14:textId="77777777" w:rsidTr="00810ACC">
        <w:tc>
          <w:tcPr>
            <w:tcW w:w="218" w:type="pct"/>
            <w:shd w:val="clear" w:color="auto" w:fill="D0CECE" w:themeFill="background2" w:themeFillShade="E6"/>
            <w:vAlign w:val="center"/>
          </w:tcPr>
          <w:p w14:paraId="7E16C2B0" w14:textId="62780282" w:rsidR="00554581" w:rsidRPr="00554581" w:rsidRDefault="00554581" w:rsidP="00810ACC">
            <w:pPr>
              <w:jc w:val="center"/>
            </w:pPr>
            <w:r w:rsidRPr="00554581">
              <w:t>1</w:t>
            </w:r>
          </w:p>
        </w:tc>
        <w:tc>
          <w:tcPr>
            <w:tcW w:w="1129" w:type="pct"/>
          </w:tcPr>
          <w:p w14:paraId="4A37E29B" w14:textId="77777777" w:rsidR="00554581" w:rsidRPr="00554581" w:rsidRDefault="00554581" w:rsidP="000E2F24">
            <w:pPr>
              <w:jc w:val="both"/>
            </w:pPr>
          </w:p>
        </w:tc>
        <w:tc>
          <w:tcPr>
            <w:tcW w:w="1176" w:type="pct"/>
          </w:tcPr>
          <w:p w14:paraId="5CFD3A22" w14:textId="77777777" w:rsidR="00554581" w:rsidRPr="00554581" w:rsidRDefault="00554581" w:rsidP="000E2F24">
            <w:pPr>
              <w:jc w:val="both"/>
            </w:pPr>
          </w:p>
        </w:tc>
        <w:tc>
          <w:tcPr>
            <w:tcW w:w="1373" w:type="pct"/>
          </w:tcPr>
          <w:p w14:paraId="79AC24C8" w14:textId="77777777" w:rsidR="00554581" w:rsidRPr="00554581" w:rsidRDefault="00554581" w:rsidP="000E2F24">
            <w:pPr>
              <w:jc w:val="both"/>
            </w:pPr>
          </w:p>
        </w:tc>
        <w:tc>
          <w:tcPr>
            <w:tcW w:w="1103" w:type="pct"/>
          </w:tcPr>
          <w:p w14:paraId="5C0C0537" w14:textId="77777777" w:rsidR="00554581" w:rsidRPr="00554581" w:rsidRDefault="00554581" w:rsidP="000E2F24">
            <w:pPr>
              <w:jc w:val="both"/>
            </w:pPr>
          </w:p>
        </w:tc>
      </w:tr>
      <w:tr w:rsidR="00554581" w:rsidRPr="00737EB8" w14:paraId="0D46EC50" w14:textId="77777777" w:rsidTr="00810ACC">
        <w:tc>
          <w:tcPr>
            <w:tcW w:w="218" w:type="pct"/>
            <w:shd w:val="clear" w:color="auto" w:fill="D0CECE" w:themeFill="background2" w:themeFillShade="E6"/>
            <w:vAlign w:val="center"/>
          </w:tcPr>
          <w:p w14:paraId="13A7D11C" w14:textId="31053308" w:rsidR="00554581" w:rsidRPr="00554581" w:rsidRDefault="00554581" w:rsidP="00810ACC">
            <w:pPr>
              <w:jc w:val="center"/>
            </w:pPr>
            <w:r w:rsidRPr="00554581">
              <w:t>2</w:t>
            </w:r>
          </w:p>
        </w:tc>
        <w:tc>
          <w:tcPr>
            <w:tcW w:w="1129" w:type="pct"/>
          </w:tcPr>
          <w:p w14:paraId="280DD2F3" w14:textId="77777777" w:rsidR="00554581" w:rsidRPr="00554581" w:rsidRDefault="00554581" w:rsidP="000E2F24">
            <w:pPr>
              <w:jc w:val="both"/>
            </w:pPr>
          </w:p>
        </w:tc>
        <w:tc>
          <w:tcPr>
            <w:tcW w:w="1176" w:type="pct"/>
          </w:tcPr>
          <w:p w14:paraId="35627B76" w14:textId="77777777" w:rsidR="00554581" w:rsidRPr="00554581" w:rsidRDefault="00554581" w:rsidP="000E2F24">
            <w:pPr>
              <w:jc w:val="both"/>
            </w:pPr>
          </w:p>
        </w:tc>
        <w:tc>
          <w:tcPr>
            <w:tcW w:w="1373" w:type="pct"/>
          </w:tcPr>
          <w:p w14:paraId="1E2726C6" w14:textId="77777777" w:rsidR="00554581" w:rsidRPr="00554581" w:rsidRDefault="00554581" w:rsidP="000E2F24">
            <w:pPr>
              <w:jc w:val="both"/>
            </w:pPr>
          </w:p>
        </w:tc>
        <w:tc>
          <w:tcPr>
            <w:tcW w:w="1103" w:type="pct"/>
          </w:tcPr>
          <w:p w14:paraId="5F0749A7" w14:textId="77777777" w:rsidR="00554581" w:rsidRPr="00554581" w:rsidRDefault="00554581" w:rsidP="000E2F24">
            <w:pPr>
              <w:jc w:val="both"/>
            </w:pPr>
          </w:p>
        </w:tc>
      </w:tr>
      <w:tr w:rsidR="00554581" w14:paraId="4150253F" w14:textId="77777777" w:rsidTr="00810ACC">
        <w:tc>
          <w:tcPr>
            <w:tcW w:w="218" w:type="pct"/>
            <w:shd w:val="clear" w:color="auto" w:fill="D0CECE" w:themeFill="background2" w:themeFillShade="E6"/>
            <w:vAlign w:val="center"/>
          </w:tcPr>
          <w:p w14:paraId="74E47B12" w14:textId="2F8392C6" w:rsidR="00554581" w:rsidRPr="00554581" w:rsidRDefault="00554581" w:rsidP="00810ACC">
            <w:pPr>
              <w:jc w:val="center"/>
            </w:pPr>
            <w:r w:rsidRPr="00554581">
              <w:t>3</w:t>
            </w:r>
          </w:p>
        </w:tc>
        <w:tc>
          <w:tcPr>
            <w:tcW w:w="1129" w:type="pct"/>
          </w:tcPr>
          <w:p w14:paraId="7C5262B6" w14:textId="77777777" w:rsidR="00554581" w:rsidRPr="00554581" w:rsidRDefault="00554581" w:rsidP="000E2F24">
            <w:pPr>
              <w:jc w:val="both"/>
            </w:pPr>
          </w:p>
        </w:tc>
        <w:tc>
          <w:tcPr>
            <w:tcW w:w="1176" w:type="pct"/>
          </w:tcPr>
          <w:p w14:paraId="7FA1E603" w14:textId="77777777" w:rsidR="00554581" w:rsidRPr="00554581" w:rsidRDefault="00554581" w:rsidP="000E2F24">
            <w:pPr>
              <w:jc w:val="both"/>
            </w:pPr>
          </w:p>
        </w:tc>
        <w:tc>
          <w:tcPr>
            <w:tcW w:w="1373" w:type="pct"/>
          </w:tcPr>
          <w:p w14:paraId="0101F1B6" w14:textId="77777777" w:rsidR="00554581" w:rsidRPr="00554581" w:rsidRDefault="00554581" w:rsidP="000E2F24">
            <w:pPr>
              <w:jc w:val="both"/>
            </w:pPr>
          </w:p>
        </w:tc>
        <w:tc>
          <w:tcPr>
            <w:tcW w:w="1103" w:type="pct"/>
          </w:tcPr>
          <w:p w14:paraId="42A286E5" w14:textId="77777777" w:rsidR="00554581" w:rsidRPr="00554581" w:rsidRDefault="00554581" w:rsidP="000E2F24">
            <w:pPr>
              <w:jc w:val="both"/>
            </w:pPr>
          </w:p>
        </w:tc>
      </w:tr>
      <w:tr w:rsidR="00810ACC" w14:paraId="692392AF" w14:textId="77777777" w:rsidTr="00810ACC">
        <w:tc>
          <w:tcPr>
            <w:tcW w:w="218" w:type="pct"/>
            <w:shd w:val="clear" w:color="auto" w:fill="D0CECE" w:themeFill="background2" w:themeFillShade="E6"/>
            <w:vAlign w:val="center"/>
          </w:tcPr>
          <w:p w14:paraId="281D3629" w14:textId="14BF24FC" w:rsidR="00810ACC" w:rsidRPr="00554581" w:rsidRDefault="00810ACC" w:rsidP="00810ACC">
            <w:pPr>
              <w:jc w:val="center"/>
            </w:pPr>
            <w:r>
              <w:t>4</w:t>
            </w:r>
          </w:p>
        </w:tc>
        <w:tc>
          <w:tcPr>
            <w:tcW w:w="1129" w:type="pct"/>
          </w:tcPr>
          <w:p w14:paraId="03B39997" w14:textId="77777777" w:rsidR="00810ACC" w:rsidRPr="00554581" w:rsidRDefault="00810ACC" w:rsidP="000E2F24">
            <w:pPr>
              <w:jc w:val="both"/>
            </w:pPr>
          </w:p>
        </w:tc>
        <w:tc>
          <w:tcPr>
            <w:tcW w:w="1176" w:type="pct"/>
          </w:tcPr>
          <w:p w14:paraId="1C17EF67" w14:textId="77777777" w:rsidR="00810ACC" w:rsidRPr="00554581" w:rsidRDefault="00810ACC" w:rsidP="000E2F24">
            <w:pPr>
              <w:jc w:val="both"/>
            </w:pPr>
          </w:p>
        </w:tc>
        <w:tc>
          <w:tcPr>
            <w:tcW w:w="1373" w:type="pct"/>
          </w:tcPr>
          <w:p w14:paraId="5D480913" w14:textId="77777777" w:rsidR="00810ACC" w:rsidRPr="00554581" w:rsidRDefault="00810ACC" w:rsidP="000E2F24">
            <w:pPr>
              <w:jc w:val="both"/>
            </w:pPr>
          </w:p>
        </w:tc>
        <w:tc>
          <w:tcPr>
            <w:tcW w:w="1103" w:type="pct"/>
          </w:tcPr>
          <w:p w14:paraId="2F9102C2" w14:textId="77777777" w:rsidR="00810ACC" w:rsidRPr="00554581" w:rsidRDefault="00810ACC" w:rsidP="000E2F24">
            <w:pPr>
              <w:jc w:val="both"/>
            </w:pPr>
          </w:p>
        </w:tc>
      </w:tr>
    </w:tbl>
    <w:p w14:paraId="5C3CE4EE" w14:textId="77777777" w:rsidR="00D33388" w:rsidRDefault="00D33388" w:rsidP="00D33388"/>
    <w:p w14:paraId="309BB54C" w14:textId="35320D81" w:rsidR="00356D88" w:rsidRDefault="00DE1879" w:rsidP="000E2F24">
      <w:pPr>
        <w:pStyle w:val="Paragrafoelenco"/>
        <w:numPr>
          <w:ilvl w:val="0"/>
          <w:numId w:val="5"/>
        </w:numPr>
        <w:jc w:val="both"/>
      </w:pPr>
      <w:r w:rsidRPr="00605AF0">
        <w:t xml:space="preserve">Indicare </w:t>
      </w:r>
      <w:r w:rsidR="00DB02FB" w:rsidRPr="00605AF0">
        <w:t xml:space="preserve">le certificazioni </w:t>
      </w:r>
      <w:r w:rsidR="00FA0B68" w:rsidRPr="00605AF0">
        <w:t>in possesso</w:t>
      </w:r>
      <w:r w:rsidR="00FA0B68">
        <w:t xml:space="preserve"> e in corso di validità </w:t>
      </w:r>
      <w:r w:rsidR="009035A4" w:rsidRPr="00554581">
        <w:t>de</w:t>
      </w:r>
      <w:r w:rsidR="00F6798F" w:rsidRPr="00554581">
        <w:t>ll’Azienda</w:t>
      </w:r>
      <w:r w:rsidR="001534B5" w:rsidRPr="00554581">
        <w:t xml:space="preserve"> </w:t>
      </w:r>
      <w:r w:rsidR="009B535B" w:rsidRPr="00554581">
        <w:t>pertinenti all’ambi</w:t>
      </w:r>
      <w:r w:rsidR="00590586" w:rsidRPr="00554581">
        <w:t xml:space="preserve">to in oggetto </w:t>
      </w:r>
      <w:r w:rsidR="001534B5" w:rsidRPr="00554581">
        <w:t xml:space="preserve">(ISO, </w:t>
      </w:r>
      <w:r w:rsidR="00C441AD">
        <w:t>q</w:t>
      </w:r>
      <w:r w:rsidR="00590586" w:rsidRPr="00554581">
        <w:t>ualificazione</w:t>
      </w:r>
      <w:r w:rsidR="00590586">
        <w:t xml:space="preserve"> CSP</w:t>
      </w:r>
      <w:r w:rsidR="00554581">
        <w:t>, ecc.)</w:t>
      </w:r>
      <w:r w:rsidR="00D9232B">
        <w:t>.</w:t>
      </w:r>
    </w:p>
    <w:tbl>
      <w:tblPr>
        <w:tblStyle w:val="Grigliatabella"/>
        <w:tblW w:w="0" w:type="auto"/>
        <w:tblInd w:w="-5" w:type="dxa"/>
        <w:tblLook w:val="04A0" w:firstRow="1" w:lastRow="0" w:firstColumn="1" w:lastColumn="0" w:noHBand="0" w:noVBand="1"/>
      </w:tblPr>
      <w:tblGrid>
        <w:gridCol w:w="9633"/>
      </w:tblGrid>
      <w:tr w:rsidR="005E3BCF" w14:paraId="2DF33BB8" w14:textId="77777777" w:rsidTr="00810ACC">
        <w:trPr>
          <w:trHeight w:val="1701"/>
        </w:trPr>
        <w:tc>
          <w:tcPr>
            <w:tcW w:w="9633" w:type="dxa"/>
          </w:tcPr>
          <w:p w14:paraId="7E4EBE9B" w14:textId="77777777" w:rsidR="005E3BCF" w:rsidRDefault="005E3BCF" w:rsidP="000E2F24">
            <w:pPr>
              <w:jc w:val="both"/>
            </w:pPr>
          </w:p>
        </w:tc>
      </w:tr>
    </w:tbl>
    <w:p w14:paraId="0EDA29AD" w14:textId="5A2614DA" w:rsidR="009A63F9" w:rsidRDefault="009A63F9" w:rsidP="000E2F24">
      <w:pPr>
        <w:jc w:val="both"/>
      </w:pPr>
    </w:p>
    <w:p w14:paraId="01FACC1C" w14:textId="70254368" w:rsidR="00E84211" w:rsidRDefault="00E84211" w:rsidP="00601F30">
      <w:pPr>
        <w:pStyle w:val="Titolo2"/>
      </w:pPr>
      <w:r>
        <w:t>Elementi tecnici</w:t>
      </w:r>
      <w:r w:rsidR="00D74604">
        <w:t>, architetturali e infrastrutturali</w:t>
      </w:r>
    </w:p>
    <w:p w14:paraId="421EE0C7" w14:textId="511743A0" w:rsidR="00853437" w:rsidRPr="00E43BE1" w:rsidRDefault="00E43BE1" w:rsidP="00C24FE8">
      <w:pPr>
        <w:pStyle w:val="Paragrafoelenco"/>
        <w:numPr>
          <w:ilvl w:val="0"/>
          <w:numId w:val="5"/>
        </w:numPr>
        <w:jc w:val="both"/>
      </w:pPr>
      <w:r w:rsidRPr="00E43BE1">
        <w:t>Inserire qui una breve descrizione (ma</w:t>
      </w:r>
      <w:r w:rsidR="00EC41D9">
        <w:t>ssimo</w:t>
      </w:r>
      <w:r w:rsidRPr="00E43BE1">
        <w:t xml:space="preserve"> 1 pagina) della soluzione proposta e delle tecnologie di riferimento adottate dalla soluzione (system software, linguaggi di sviluppo e middleware). </w:t>
      </w:r>
    </w:p>
    <w:tbl>
      <w:tblPr>
        <w:tblStyle w:val="Grigliatabella"/>
        <w:tblW w:w="0" w:type="auto"/>
        <w:tblLook w:val="04A0" w:firstRow="1" w:lastRow="0" w:firstColumn="1" w:lastColumn="0" w:noHBand="0" w:noVBand="1"/>
      </w:tblPr>
      <w:tblGrid>
        <w:gridCol w:w="9628"/>
      </w:tblGrid>
      <w:tr w:rsidR="00960E67" w14:paraId="62B9E72D" w14:textId="77777777" w:rsidTr="00E43BE1">
        <w:trPr>
          <w:trHeight w:val="12943"/>
        </w:trPr>
        <w:tc>
          <w:tcPr>
            <w:tcW w:w="9628" w:type="dxa"/>
          </w:tcPr>
          <w:p w14:paraId="43605C18" w14:textId="77777777" w:rsidR="00960E67" w:rsidRDefault="00960E67" w:rsidP="00960E67">
            <w:pPr>
              <w:jc w:val="both"/>
            </w:pPr>
          </w:p>
        </w:tc>
      </w:tr>
    </w:tbl>
    <w:p w14:paraId="4FF724EE" w14:textId="64D21ADC" w:rsidR="00AA0801" w:rsidRPr="005037B4" w:rsidRDefault="00AA0801" w:rsidP="00CE51CF">
      <w:pPr>
        <w:jc w:val="both"/>
      </w:pPr>
    </w:p>
    <w:p w14:paraId="275658E9" w14:textId="2FF302C9" w:rsidR="00AA0801" w:rsidRPr="005037B4" w:rsidRDefault="00AA0801" w:rsidP="00DD410F">
      <w:pPr>
        <w:pStyle w:val="Paragrafoelenco"/>
        <w:numPr>
          <w:ilvl w:val="0"/>
          <w:numId w:val="5"/>
        </w:numPr>
        <w:jc w:val="both"/>
      </w:pPr>
      <w:r w:rsidRPr="005037B4">
        <w:t xml:space="preserve">Esporre le misure attuate per la rispondenza agli standard di accessibilità previsti dagli articoli 53 e 71 del CAD (DLGS 82/2005 e </w:t>
      </w:r>
      <w:proofErr w:type="spellStart"/>
      <w:r w:rsidRPr="005037B4">
        <w:t>s.</w:t>
      </w:r>
      <w:r w:rsidR="00490195" w:rsidRPr="005037B4">
        <w:t>m.</w:t>
      </w:r>
      <w:r w:rsidRPr="005037B4">
        <w:t>i.</w:t>
      </w:r>
      <w:proofErr w:type="spellEnd"/>
      <w:r w:rsidRPr="005037B4">
        <w:t xml:space="preserve">) e in particolare dalla L. 4/2004 e </w:t>
      </w:r>
      <w:proofErr w:type="spellStart"/>
      <w:r w:rsidRPr="005037B4">
        <w:t>s.</w:t>
      </w:r>
      <w:r w:rsidR="00490195" w:rsidRPr="005037B4">
        <w:t>m.</w:t>
      </w:r>
      <w:r w:rsidRPr="005037B4">
        <w:t>i.</w:t>
      </w:r>
      <w:proofErr w:type="spellEnd"/>
      <w:r w:rsidRPr="005037B4">
        <w:t xml:space="preserve"> (Legge Stanca).</w:t>
      </w:r>
    </w:p>
    <w:tbl>
      <w:tblPr>
        <w:tblStyle w:val="Grigliatabella"/>
        <w:tblW w:w="0" w:type="auto"/>
        <w:tblLook w:val="04A0" w:firstRow="1" w:lastRow="0" w:firstColumn="1" w:lastColumn="0" w:noHBand="0" w:noVBand="1"/>
      </w:tblPr>
      <w:tblGrid>
        <w:gridCol w:w="9628"/>
      </w:tblGrid>
      <w:tr w:rsidR="00960E67" w:rsidRPr="005037B4" w14:paraId="34A86A39" w14:textId="77777777" w:rsidTr="00960E67">
        <w:trPr>
          <w:trHeight w:val="1701"/>
        </w:trPr>
        <w:tc>
          <w:tcPr>
            <w:tcW w:w="9628" w:type="dxa"/>
          </w:tcPr>
          <w:p w14:paraId="020FD699" w14:textId="77777777" w:rsidR="00960E67" w:rsidRPr="005037B4" w:rsidRDefault="00960E67" w:rsidP="00960E67">
            <w:pPr>
              <w:jc w:val="both"/>
            </w:pPr>
          </w:p>
        </w:tc>
      </w:tr>
    </w:tbl>
    <w:p w14:paraId="28AE4DB2" w14:textId="77777777" w:rsidR="00C24FE8" w:rsidRDefault="00C24FE8" w:rsidP="00C24FE8"/>
    <w:p w14:paraId="6FF9A7B0" w14:textId="1826EF12" w:rsidR="005F1C7F" w:rsidRPr="005037B4" w:rsidRDefault="005F1C7F" w:rsidP="00DD410F">
      <w:pPr>
        <w:pStyle w:val="Paragrafoelenco"/>
        <w:numPr>
          <w:ilvl w:val="0"/>
          <w:numId w:val="5"/>
        </w:numPr>
        <w:jc w:val="both"/>
      </w:pPr>
      <w:r w:rsidRPr="005037B4">
        <w:t>Esporre le misure attuate per garantire compliance</w:t>
      </w:r>
      <w:r w:rsidR="00F27724" w:rsidRPr="005037B4">
        <w:t xml:space="preserve"> della soluzione applicativa</w:t>
      </w:r>
      <w:r w:rsidRPr="005037B4">
        <w:t xml:space="preserve"> ai requisiti di sicurezza applicativa in aderenza alla legge D.lgs.196/2003, al Regolamento UE 679/2016 e decreto attuativo ed al CAD</w:t>
      </w:r>
      <w:r w:rsidR="00641762" w:rsidRPr="005037B4">
        <w:t>.</w:t>
      </w:r>
    </w:p>
    <w:tbl>
      <w:tblPr>
        <w:tblStyle w:val="Grigliatabella"/>
        <w:tblW w:w="0" w:type="auto"/>
        <w:tblLook w:val="04A0" w:firstRow="1" w:lastRow="0" w:firstColumn="1" w:lastColumn="0" w:noHBand="0" w:noVBand="1"/>
      </w:tblPr>
      <w:tblGrid>
        <w:gridCol w:w="9628"/>
      </w:tblGrid>
      <w:tr w:rsidR="007F7C93" w:rsidRPr="005037B4" w14:paraId="239B3944" w14:textId="77777777" w:rsidTr="007F7C93">
        <w:trPr>
          <w:trHeight w:val="1701"/>
        </w:trPr>
        <w:tc>
          <w:tcPr>
            <w:tcW w:w="9628" w:type="dxa"/>
          </w:tcPr>
          <w:p w14:paraId="16645EF2" w14:textId="77777777" w:rsidR="007F7C93" w:rsidRPr="005037B4" w:rsidRDefault="007F7C93" w:rsidP="00960E67">
            <w:pPr>
              <w:jc w:val="both"/>
            </w:pPr>
          </w:p>
        </w:tc>
      </w:tr>
    </w:tbl>
    <w:p w14:paraId="349FE423" w14:textId="77777777" w:rsidR="00C24FE8" w:rsidRDefault="00C24FE8" w:rsidP="00C24FE8"/>
    <w:p w14:paraId="6097CEB6" w14:textId="4B7DCFF6" w:rsidR="00D74604" w:rsidRPr="005037B4" w:rsidRDefault="005F1C7F" w:rsidP="00DD410F">
      <w:pPr>
        <w:pStyle w:val="Paragrafoelenco"/>
        <w:numPr>
          <w:ilvl w:val="0"/>
          <w:numId w:val="5"/>
        </w:numPr>
        <w:jc w:val="both"/>
      </w:pPr>
      <w:r w:rsidRPr="005037B4">
        <w:t xml:space="preserve">Indicare </w:t>
      </w:r>
      <w:r w:rsidR="00707F3F">
        <w:t>gli eventuali</w:t>
      </w:r>
      <w:r w:rsidRPr="005037B4">
        <w:t xml:space="preserve"> plug-in necessari alla fruizione della soluzione (p.e. J2E, </w:t>
      </w:r>
      <w:proofErr w:type="spellStart"/>
      <w:r w:rsidRPr="005037B4">
        <w:t>virtual</w:t>
      </w:r>
      <w:proofErr w:type="spellEnd"/>
      <w:r w:rsidRPr="005037B4">
        <w:t xml:space="preserve"> machine</w:t>
      </w:r>
      <w:r w:rsidR="00532617" w:rsidRPr="005037B4">
        <w:t>)</w:t>
      </w:r>
      <w:r w:rsidR="00982BB8" w:rsidRPr="005037B4">
        <w:t xml:space="preserve"> </w:t>
      </w:r>
      <w:r w:rsidR="00203D64" w:rsidRPr="005037B4">
        <w:t>inclusi i componenti per la fruizione</w:t>
      </w:r>
      <w:r w:rsidR="0091510D" w:rsidRPr="005037B4">
        <w:t xml:space="preserve">, ad esempio </w:t>
      </w:r>
      <w:r w:rsidR="00315755" w:rsidRPr="005037B4">
        <w:t xml:space="preserve">della protocollazione automatica </w:t>
      </w:r>
      <w:r w:rsidR="00CA7D12" w:rsidRPr="005037B4">
        <w:t>di documenti scansionati</w:t>
      </w:r>
      <w:r w:rsidR="001106F9" w:rsidRPr="005037B4">
        <w:t xml:space="preserve"> o per la firma digitale</w:t>
      </w:r>
      <w:r w:rsidR="006F5228" w:rsidRPr="005037B4">
        <w:t>,</w:t>
      </w:r>
      <w:r w:rsidR="00C123A5" w:rsidRPr="005037B4">
        <w:t xml:space="preserve"> e le modalità </w:t>
      </w:r>
      <w:r w:rsidR="00580F96" w:rsidRPr="005037B4">
        <w:t>di gestione degli stessi (possibilità di gestione centralizzata, ecc.)</w:t>
      </w:r>
      <w:r w:rsidR="006F5228" w:rsidRPr="005037B4">
        <w:t>.</w:t>
      </w:r>
    </w:p>
    <w:tbl>
      <w:tblPr>
        <w:tblStyle w:val="Grigliatabella"/>
        <w:tblW w:w="0" w:type="auto"/>
        <w:tblLook w:val="04A0" w:firstRow="1" w:lastRow="0" w:firstColumn="1" w:lastColumn="0" w:noHBand="0" w:noVBand="1"/>
      </w:tblPr>
      <w:tblGrid>
        <w:gridCol w:w="9628"/>
      </w:tblGrid>
      <w:tr w:rsidR="007F7C93" w:rsidRPr="005037B4" w14:paraId="79D10C4A" w14:textId="77777777" w:rsidTr="007F7C93">
        <w:trPr>
          <w:trHeight w:val="1701"/>
        </w:trPr>
        <w:tc>
          <w:tcPr>
            <w:tcW w:w="9628" w:type="dxa"/>
          </w:tcPr>
          <w:p w14:paraId="45B98932" w14:textId="77777777" w:rsidR="007F7C93" w:rsidRPr="005037B4" w:rsidRDefault="007F7C93" w:rsidP="007F7C93"/>
        </w:tc>
      </w:tr>
    </w:tbl>
    <w:p w14:paraId="19901059" w14:textId="77777777" w:rsidR="00C24FE8" w:rsidRDefault="00C24FE8" w:rsidP="00C24FE8"/>
    <w:p w14:paraId="593E7AD7" w14:textId="74FFEF66" w:rsidR="001D3EDA" w:rsidRPr="005037B4" w:rsidRDefault="00AF5D37" w:rsidP="00DD410F">
      <w:pPr>
        <w:pStyle w:val="Paragrafoelenco"/>
        <w:numPr>
          <w:ilvl w:val="0"/>
          <w:numId w:val="5"/>
        </w:numPr>
        <w:jc w:val="both"/>
      </w:pPr>
      <w:r w:rsidRPr="005037B4">
        <w:t xml:space="preserve">Indicare </w:t>
      </w:r>
      <w:r w:rsidR="00087D24">
        <w:t xml:space="preserve">i requisiti minimi richiesti </w:t>
      </w:r>
      <w:r w:rsidR="00D8666A">
        <w:t xml:space="preserve">per le postazioni del comune al fine di </w:t>
      </w:r>
      <w:r w:rsidR="002C4917">
        <w:t>garantire</w:t>
      </w:r>
      <w:r w:rsidRPr="005037B4">
        <w:t xml:space="preserve"> un’efficiente fruizione dei servizi SaaS</w:t>
      </w:r>
      <w:r w:rsidR="000833DA" w:rsidRPr="005037B4">
        <w:t>.</w:t>
      </w:r>
    </w:p>
    <w:tbl>
      <w:tblPr>
        <w:tblStyle w:val="Grigliatabella"/>
        <w:tblW w:w="0" w:type="auto"/>
        <w:tblLook w:val="04A0" w:firstRow="1" w:lastRow="0" w:firstColumn="1" w:lastColumn="0" w:noHBand="0" w:noVBand="1"/>
      </w:tblPr>
      <w:tblGrid>
        <w:gridCol w:w="9628"/>
      </w:tblGrid>
      <w:tr w:rsidR="007F7C93" w14:paraId="1FCEEED9" w14:textId="77777777" w:rsidTr="007F7C93">
        <w:trPr>
          <w:trHeight w:val="1701"/>
        </w:trPr>
        <w:tc>
          <w:tcPr>
            <w:tcW w:w="9628" w:type="dxa"/>
          </w:tcPr>
          <w:p w14:paraId="434A98A6" w14:textId="77777777" w:rsidR="007F7C93" w:rsidRDefault="007F7C93" w:rsidP="007F7C93">
            <w:pPr>
              <w:jc w:val="both"/>
              <w:rPr>
                <w:highlight w:val="yellow"/>
              </w:rPr>
            </w:pPr>
          </w:p>
        </w:tc>
      </w:tr>
    </w:tbl>
    <w:p w14:paraId="2E59B215" w14:textId="77777777" w:rsidR="00C24FE8" w:rsidRDefault="00C24FE8" w:rsidP="00C24FE8"/>
    <w:p w14:paraId="407CD3A6" w14:textId="1A848B65" w:rsidR="002E2341" w:rsidRPr="00CF7DA0" w:rsidRDefault="00DA7A31" w:rsidP="00DD410F">
      <w:pPr>
        <w:pStyle w:val="Paragrafoelenco"/>
        <w:numPr>
          <w:ilvl w:val="0"/>
          <w:numId w:val="5"/>
        </w:numPr>
        <w:jc w:val="both"/>
      </w:pPr>
      <w:r w:rsidRPr="00CF7DA0">
        <w:t>Il software dovrà essere installabile su cloud certificato CSP</w:t>
      </w:r>
      <w:r w:rsidR="008B09EA" w:rsidRPr="00CF7DA0">
        <w:t xml:space="preserve">, indicare i requisiti architetturali </w:t>
      </w:r>
      <w:r w:rsidR="000833DA" w:rsidRPr="00CF7DA0">
        <w:t xml:space="preserve">minimi </w:t>
      </w:r>
      <w:r w:rsidR="008B09EA" w:rsidRPr="00CF7DA0">
        <w:t xml:space="preserve">dell’infrastruttura </w:t>
      </w:r>
      <w:r w:rsidR="0092389D" w:rsidRPr="00CF7DA0">
        <w:t xml:space="preserve">del sistema </w:t>
      </w:r>
      <w:r w:rsidR="00E35893" w:rsidRPr="00CF7DA0">
        <w:t>sul quale il so</w:t>
      </w:r>
      <w:r w:rsidR="00DC7D96" w:rsidRPr="00CF7DA0">
        <w:t>f</w:t>
      </w:r>
      <w:r w:rsidR="00E35893" w:rsidRPr="00CF7DA0">
        <w:t>tware potrà essere installato</w:t>
      </w:r>
      <w:r w:rsidR="000833DA" w:rsidRPr="00CF7DA0">
        <w:t>.</w:t>
      </w:r>
    </w:p>
    <w:tbl>
      <w:tblPr>
        <w:tblStyle w:val="Grigliatabella"/>
        <w:tblW w:w="0" w:type="auto"/>
        <w:tblLook w:val="04A0" w:firstRow="1" w:lastRow="0" w:firstColumn="1" w:lastColumn="0" w:noHBand="0" w:noVBand="1"/>
      </w:tblPr>
      <w:tblGrid>
        <w:gridCol w:w="9628"/>
      </w:tblGrid>
      <w:tr w:rsidR="007F7C93" w14:paraId="37DC76EE" w14:textId="77777777" w:rsidTr="007F7C93">
        <w:trPr>
          <w:trHeight w:val="1701"/>
        </w:trPr>
        <w:tc>
          <w:tcPr>
            <w:tcW w:w="9628" w:type="dxa"/>
          </w:tcPr>
          <w:p w14:paraId="50B7D7BE" w14:textId="77777777" w:rsidR="007F7C93" w:rsidRDefault="007F7C93" w:rsidP="007F7C93">
            <w:pPr>
              <w:jc w:val="both"/>
              <w:rPr>
                <w:highlight w:val="yellow"/>
              </w:rPr>
            </w:pPr>
          </w:p>
        </w:tc>
      </w:tr>
    </w:tbl>
    <w:p w14:paraId="072FDDAC" w14:textId="77777777" w:rsidR="007F7C93" w:rsidRPr="007F7C93" w:rsidRDefault="007F7C93" w:rsidP="007F7C93">
      <w:pPr>
        <w:jc w:val="both"/>
        <w:rPr>
          <w:highlight w:val="yellow"/>
        </w:rPr>
      </w:pPr>
    </w:p>
    <w:p w14:paraId="67BA5D20" w14:textId="77777777" w:rsidR="00FC1861" w:rsidRPr="00FC1861" w:rsidRDefault="00FC1861" w:rsidP="00FC1861">
      <w:pPr>
        <w:pStyle w:val="Titolo2"/>
      </w:pPr>
      <w:r w:rsidRPr="00FC1861">
        <w:t>Modalità di erogazione dei servizi connessi</w:t>
      </w:r>
    </w:p>
    <w:p w14:paraId="23636561" w14:textId="442F2020" w:rsidR="009840DD" w:rsidRDefault="000E051E" w:rsidP="00C24FE8">
      <w:pPr>
        <w:pStyle w:val="Paragrafoelenco"/>
        <w:numPr>
          <w:ilvl w:val="0"/>
          <w:numId w:val="5"/>
        </w:numPr>
        <w:jc w:val="both"/>
      </w:pPr>
      <w:r w:rsidRPr="00C24FE8">
        <w:rPr>
          <w:b/>
          <w:bCs/>
        </w:rPr>
        <w:t>Servizi di assistenza in remoto e in presenza</w:t>
      </w:r>
      <w:r>
        <w:t xml:space="preserve">: </w:t>
      </w:r>
      <w:r w:rsidR="00F240FC">
        <w:t>i</w:t>
      </w:r>
      <w:r w:rsidR="009840DD" w:rsidRPr="009840DD">
        <w:t>ndicare i Livelli di Servizio garantiti per l’assistenza telefonica e la gestione del ticketing nei giorni feriali nell’orario 8.00-18.00</w:t>
      </w:r>
      <w:r w:rsidR="00CC3097">
        <w:t>.</w:t>
      </w:r>
    </w:p>
    <w:tbl>
      <w:tblPr>
        <w:tblStyle w:val="Grigliatabella"/>
        <w:tblW w:w="0" w:type="auto"/>
        <w:tblLook w:val="04A0" w:firstRow="1" w:lastRow="0" w:firstColumn="1" w:lastColumn="0" w:noHBand="0" w:noVBand="1"/>
      </w:tblPr>
      <w:tblGrid>
        <w:gridCol w:w="9628"/>
      </w:tblGrid>
      <w:tr w:rsidR="00E9789B" w14:paraId="541B3D90" w14:textId="77777777" w:rsidTr="00E9789B">
        <w:trPr>
          <w:trHeight w:val="1701"/>
        </w:trPr>
        <w:tc>
          <w:tcPr>
            <w:tcW w:w="9628" w:type="dxa"/>
          </w:tcPr>
          <w:p w14:paraId="3549324B" w14:textId="72618ED2" w:rsidR="00E9789B" w:rsidRDefault="00E9789B" w:rsidP="007F7C93">
            <w:pPr>
              <w:jc w:val="both"/>
            </w:pPr>
          </w:p>
        </w:tc>
      </w:tr>
    </w:tbl>
    <w:p w14:paraId="7A14347E" w14:textId="77777777" w:rsidR="00C24FE8" w:rsidRPr="00C24FE8" w:rsidRDefault="00C24FE8" w:rsidP="00C24FE8">
      <w:pPr>
        <w:ind w:left="360"/>
        <w:jc w:val="both"/>
      </w:pPr>
    </w:p>
    <w:p w14:paraId="37989803" w14:textId="590042EC" w:rsidR="002E2341" w:rsidRPr="008F577F" w:rsidRDefault="002E2341" w:rsidP="00B33E43">
      <w:pPr>
        <w:pStyle w:val="Paragrafoelenco"/>
        <w:numPr>
          <w:ilvl w:val="0"/>
          <w:numId w:val="5"/>
        </w:numPr>
        <w:jc w:val="both"/>
      </w:pPr>
      <w:r w:rsidRPr="008F577F">
        <w:rPr>
          <w:b/>
          <w:bCs/>
        </w:rPr>
        <w:t>Installazione, attivazione e configurazione della soluzione</w:t>
      </w:r>
      <w:r w:rsidR="00B843E1" w:rsidRPr="008F577F">
        <w:t xml:space="preserve">: </w:t>
      </w:r>
      <w:r w:rsidR="00161988" w:rsidRPr="008F577F">
        <w:t xml:space="preserve">i nuovi moduli applicativi dovranno integrarsi </w:t>
      </w:r>
      <w:r w:rsidR="00790104" w:rsidRPr="008F577F">
        <w:t>nel Sistema Informativo dell’Ente e con i software esterni</w:t>
      </w:r>
      <w:r w:rsidR="00495EE7" w:rsidRPr="008F577F">
        <w:t xml:space="preserve"> in uso da parte dell’Amministrazione</w:t>
      </w:r>
      <w:r w:rsidR="00682CC5" w:rsidRPr="008F577F">
        <w:t xml:space="preserve">. Indicare in maniera puntuale – inserendo anche eventuale breve descrizione - gli elementi e le informazioni minime di cui l’Operatore economico dovrebbe </w:t>
      </w:r>
      <w:r w:rsidR="00D57389" w:rsidRPr="008F577F">
        <w:t xml:space="preserve">eventualmente </w:t>
      </w:r>
      <w:r w:rsidR="00682CC5" w:rsidRPr="008F577F">
        <w:t>essere messo a conoscenza al fine di garantire che tale integrazione</w:t>
      </w:r>
      <w:r w:rsidR="00B33E43" w:rsidRPr="008F577F">
        <w:t xml:space="preserve"> venga compiuta in maniera completa ed efficace (p.e. </w:t>
      </w:r>
      <w:r w:rsidR="00376C1E" w:rsidRPr="008F577F">
        <w:t>architettura del Sistema ecc.</w:t>
      </w:r>
      <w:r w:rsidR="00B33E43" w:rsidRPr="008F577F">
        <w:t>).</w:t>
      </w:r>
    </w:p>
    <w:tbl>
      <w:tblPr>
        <w:tblStyle w:val="Grigliatabella"/>
        <w:tblW w:w="0" w:type="auto"/>
        <w:tblLook w:val="04A0" w:firstRow="1" w:lastRow="0" w:firstColumn="1" w:lastColumn="0" w:noHBand="0" w:noVBand="1"/>
      </w:tblPr>
      <w:tblGrid>
        <w:gridCol w:w="9628"/>
      </w:tblGrid>
      <w:tr w:rsidR="00E9789B" w14:paraId="6E8F69EC" w14:textId="77777777" w:rsidTr="00E9789B">
        <w:trPr>
          <w:trHeight w:val="1701"/>
        </w:trPr>
        <w:tc>
          <w:tcPr>
            <w:tcW w:w="9628" w:type="dxa"/>
          </w:tcPr>
          <w:p w14:paraId="402BE225" w14:textId="77777777" w:rsidR="00E9789B" w:rsidRDefault="00E9789B" w:rsidP="00E9789B">
            <w:pPr>
              <w:jc w:val="both"/>
              <w:rPr>
                <w:highlight w:val="yellow"/>
              </w:rPr>
            </w:pPr>
          </w:p>
        </w:tc>
      </w:tr>
    </w:tbl>
    <w:p w14:paraId="2BCF0DBE" w14:textId="77777777" w:rsidR="00C24FE8" w:rsidRPr="00C24FE8" w:rsidRDefault="00C24FE8" w:rsidP="00C24FE8">
      <w:pPr>
        <w:ind w:left="360"/>
        <w:jc w:val="both"/>
      </w:pPr>
    </w:p>
    <w:p w14:paraId="40FFA2F8" w14:textId="2F88BD33" w:rsidR="00D930C1" w:rsidRPr="008F577F" w:rsidRDefault="002E2341" w:rsidP="003E4CB9">
      <w:pPr>
        <w:pStyle w:val="Paragrafoelenco"/>
        <w:numPr>
          <w:ilvl w:val="0"/>
          <w:numId w:val="5"/>
        </w:numPr>
        <w:jc w:val="both"/>
      </w:pPr>
      <w:r w:rsidRPr="008F577F">
        <w:rPr>
          <w:b/>
          <w:bCs/>
        </w:rPr>
        <w:t>Recupero, normalizzazione e migrazione</w:t>
      </w:r>
      <w:r w:rsidR="004052C6" w:rsidRPr="008F577F">
        <w:rPr>
          <w:b/>
          <w:bCs/>
        </w:rPr>
        <w:t xml:space="preserve"> dei dati</w:t>
      </w:r>
      <w:r w:rsidR="004052C6" w:rsidRPr="008F577F">
        <w:t xml:space="preserve">: </w:t>
      </w:r>
      <w:r w:rsidR="001072A1">
        <w:t>t</w:t>
      </w:r>
      <w:r w:rsidR="00A809B3" w:rsidRPr="008F577F">
        <w:t>utt</w:t>
      </w:r>
      <w:r w:rsidR="007702A7" w:rsidRPr="008F577F">
        <w:t>i i</w:t>
      </w:r>
      <w:r w:rsidR="00A809B3" w:rsidRPr="008F577F">
        <w:t xml:space="preserve"> dati </w:t>
      </w:r>
      <w:r w:rsidR="002567B3" w:rsidRPr="008F577F">
        <w:t>gestiti dai moduli applicativi</w:t>
      </w:r>
      <w:r w:rsidR="0031289E" w:rsidRPr="008F577F">
        <w:t xml:space="preserve"> in oggetto</w:t>
      </w:r>
      <w:r w:rsidR="00AF711C" w:rsidRPr="008F577F">
        <w:t xml:space="preserve">, ovvero l’intero storico di cui il </w:t>
      </w:r>
      <w:r w:rsidR="00D414BA" w:rsidRPr="008F577F">
        <w:t xml:space="preserve">Comune di Cuneo dispone, </w:t>
      </w:r>
      <w:r w:rsidR="00977F96" w:rsidRPr="008F577F">
        <w:t xml:space="preserve">dovranno essere </w:t>
      </w:r>
      <w:r w:rsidR="003C6BEC" w:rsidRPr="008F577F">
        <w:t>recuperati</w:t>
      </w:r>
      <w:r w:rsidR="00530328" w:rsidRPr="008F577F">
        <w:t xml:space="preserve">, </w:t>
      </w:r>
      <w:r w:rsidR="001E350E" w:rsidRPr="008F577F">
        <w:t xml:space="preserve">normalizzati e riversati nel </w:t>
      </w:r>
      <w:r w:rsidR="001462AC" w:rsidRPr="008F577F">
        <w:t>nuovo databas</w:t>
      </w:r>
      <w:r w:rsidR="009869FA" w:rsidRPr="008F577F">
        <w:t xml:space="preserve">e </w:t>
      </w:r>
      <w:r w:rsidR="003B7EE2" w:rsidRPr="008F577F">
        <w:t>applicativo</w:t>
      </w:r>
      <w:r w:rsidR="0026024B" w:rsidRPr="008F577F">
        <w:t xml:space="preserve">. </w:t>
      </w:r>
      <w:r w:rsidR="00755EAC" w:rsidRPr="008F577F">
        <w:t xml:space="preserve">Indicare </w:t>
      </w:r>
      <w:r w:rsidR="002A705E" w:rsidRPr="008F577F">
        <w:t xml:space="preserve">in maniera </w:t>
      </w:r>
      <w:r w:rsidR="009E613C" w:rsidRPr="008F577F">
        <w:t>puntuale</w:t>
      </w:r>
      <w:r w:rsidR="00EF479F" w:rsidRPr="008F577F">
        <w:t xml:space="preserve"> – inserendo </w:t>
      </w:r>
      <w:r w:rsidR="00E6623C" w:rsidRPr="008F577F">
        <w:t>anche eventuale breve descrizione -</w:t>
      </w:r>
      <w:r w:rsidR="002A705E" w:rsidRPr="008F577F">
        <w:t xml:space="preserve"> </w:t>
      </w:r>
      <w:r w:rsidR="00755EAC" w:rsidRPr="008F577F">
        <w:t xml:space="preserve">gli elementi </w:t>
      </w:r>
      <w:r w:rsidR="0026024B" w:rsidRPr="008F577F">
        <w:t xml:space="preserve">e le informazioni </w:t>
      </w:r>
      <w:r w:rsidR="00E54B35" w:rsidRPr="008F577F">
        <w:t xml:space="preserve">minime </w:t>
      </w:r>
      <w:r w:rsidR="0026024B" w:rsidRPr="008F577F">
        <w:t>di cui l’</w:t>
      </w:r>
      <w:r w:rsidR="00755EAC" w:rsidRPr="008F577F">
        <w:t xml:space="preserve">Operatore economico </w:t>
      </w:r>
      <w:r w:rsidR="009A47A9" w:rsidRPr="008F577F">
        <w:t xml:space="preserve">dovrebbe </w:t>
      </w:r>
      <w:r w:rsidR="00D57389" w:rsidRPr="008F577F">
        <w:t xml:space="preserve">eventualmente </w:t>
      </w:r>
      <w:r w:rsidR="009A47A9" w:rsidRPr="008F577F">
        <w:t xml:space="preserve">essere messo a conoscenza </w:t>
      </w:r>
      <w:r w:rsidR="00A70A69" w:rsidRPr="008F577F">
        <w:t xml:space="preserve">al fine di garantire </w:t>
      </w:r>
      <w:r w:rsidR="007702A7" w:rsidRPr="008F577F">
        <w:t xml:space="preserve">che tale attività venga compiuta in maniera </w:t>
      </w:r>
      <w:r w:rsidR="00D930C1" w:rsidRPr="008F577F">
        <w:t xml:space="preserve">completa ed </w:t>
      </w:r>
      <w:r w:rsidR="007702A7" w:rsidRPr="008F577F">
        <w:t>efficace</w:t>
      </w:r>
      <w:r w:rsidR="00891C7E" w:rsidRPr="008F577F">
        <w:t xml:space="preserve"> (p.e. </w:t>
      </w:r>
      <w:r w:rsidR="00C571FC" w:rsidRPr="008F577F">
        <w:t xml:space="preserve">architettura </w:t>
      </w:r>
      <w:r w:rsidR="00C81AFA" w:rsidRPr="008F577F">
        <w:t xml:space="preserve">dei database di partenza, </w:t>
      </w:r>
      <w:r w:rsidR="00CD7FA8" w:rsidRPr="008F577F">
        <w:t>eventuale</w:t>
      </w:r>
      <w:r w:rsidR="00471251" w:rsidRPr="008F577F">
        <w:t xml:space="preserve"> condivisione dei dati oggetto di migrazione con moduli applicati</w:t>
      </w:r>
      <w:r w:rsidR="001072A1">
        <w:t>vi</w:t>
      </w:r>
      <w:r w:rsidR="00471251" w:rsidRPr="008F577F">
        <w:t xml:space="preserve"> esclusi dalla fornitura in oggetto e loro caratteristiche, ecc.)</w:t>
      </w:r>
      <w:r w:rsidR="007702A7" w:rsidRPr="008F577F">
        <w:t>.</w:t>
      </w:r>
    </w:p>
    <w:tbl>
      <w:tblPr>
        <w:tblStyle w:val="Grigliatabella"/>
        <w:tblW w:w="0" w:type="auto"/>
        <w:tblLook w:val="04A0" w:firstRow="1" w:lastRow="0" w:firstColumn="1" w:lastColumn="0" w:noHBand="0" w:noVBand="1"/>
      </w:tblPr>
      <w:tblGrid>
        <w:gridCol w:w="9628"/>
      </w:tblGrid>
      <w:tr w:rsidR="00E9789B" w14:paraId="7FF2F2EB" w14:textId="77777777" w:rsidTr="00E9789B">
        <w:trPr>
          <w:trHeight w:val="1701"/>
        </w:trPr>
        <w:tc>
          <w:tcPr>
            <w:tcW w:w="9628" w:type="dxa"/>
          </w:tcPr>
          <w:p w14:paraId="38A07D48" w14:textId="77777777" w:rsidR="00E9789B" w:rsidRDefault="00E9789B" w:rsidP="00E9789B">
            <w:pPr>
              <w:rPr>
                <w:highlight w:val="yellow"/>
              </w:rPr>
            </w:pPr>
          </w:p>
        </w:tc>
      </w:tr>
    </w:tbl>
    <w:p w14:paraId="01C49E25" w14:textId="4E2167DB" w:rsidR="00755EAC" w:rsidRDefault="002E2341" w:rsidP="003E4CB9">
      <w:pPr>
        <w:pStyle w:val="Paragrafoelenco"/>
        <w:numPr>
          <w:ilvl w:val="0"/>
          <w:numId w:val="5"/>
        </w:numPr>
        <w:jc w:val="both"/>
      </w:pPr>
      <w:r w:rsidRPr="008F577F">
        <w:rPr>
          <w:b/>
          <w:bCs/>
        </w:rPr>
        <w:t>Recupero, normalizzazione e migrazione</w:t>
      </w:r>
      <w:r w:rsidR="004052C6" w:rsidRPr="008F577F">
        <w:rPr>
          <w:b/>
          <w:bCs/>
        </w:rPr>
        <w:t xml:space="preserve"> dei dati</w:t>
      </w:r>
      <w:r w:rsidR="004052C6">
        <w:t>: c</w:t>
      </w:r>
      <w:r w:rsidR="00E34216">
        <w:t>on riferimento al servizio di migrazione dei dati</w:t>
      </w:r>
      <w:r w:rsidR="00592F4A">
        <w:t xml:space="preserve"> contabili antecedenti il 2015, esporre </w:t>
      </w:r>
      <w:r w:rsidR="003B7EE2">
        <w:t>le soluzioni proposte per la fruibilità degli stessi attraverso il nuovo applicativo</w:t>
      </w:r>
      <w:r w:rsidR="00944CE2">
        <w:t>.</w:t>
      </w:r>
    </w:p>
    <w:tbl>
      <w:tblPr>
        <w:tblStyle w:val="Grigliatabella"/>
        <w:tblW w:w="0" w:type="auto"/>
        <w:tblLook w:val="04A0" w:firstRow="1" w:lastRow="0" w:firstColumn="1" w:lastColumn="0" w:noHBand="0" w:noVBand="1"/>
      </w:tblPr>
      <w:tblGrid>
        <w:gridCol w:w="9628"/>
      </w:tblGrid>
      <w:tr w:rsidR="00E9789B" w14:paraId="4C3E0A07" w14:textId="77777777" w:rsidTr="00E9789B">
        <w:trPr>
          <w:trHeight w:val="1701"/>
        </w:trPr>
        <w:tc>
          <w:tcPr>
            <w:tcW w:w="9628" w:type="dxa"/>
          </w:tcPr>
          <w:p w14:paraId="019BACBA" w14:textId="77777777" w:rsidR="00E9789B" w:rsidRDefault="00E9789B" w:rsidP="00E9789B">
            <w:pPr>
              <w:jc w:val="both"/>
            </w:pPr>
          </w:p>
        </w:tc>
      </w:tr>
    </w:tbl>
    <w:p w14:paraId="2AEF2574" w14:textId="77777777" w:rsidR="00E9789B" w:rsidRPr="009840DD" w:rsidRDefault="00E9789B" w:rsidP="00E9789B">
      <w:pPr>
        <w:jc w:val="both"/>
      </w:pPr>
    </w:p>
    <w:p w14:paraId="7BF0494F" w14:textId="35D6149C" w:rsidR="00E82A37" w:rsidRDefault="00957E8D" w:rsidP="00382AAB">
      <w:pPr>
        <w:pStyle w:val="Titolo2"/>
      </w:pPr>
      <w:r w:rsidRPr="00957E8D">
        <w:t>Requisiti relativi alle funzionalità</w:t>
      </w:r>
    </w:p>
    <w:p w14:paraId="70E16C87" w14:textId="72F9C80D" w:rsidR="00E461FF" w:rsidRDefault="00E461FF" w:rsidP="00AE4C65">
      <w:pPr>
        <w:pStyle w:val="Paragrafoelenco"/>
        <w:numPr>
          <w:ilvl w:val="0"/>
          <w:numId w:val="5"/>
        </w:numPr>
        <w:jc w:val="both"/>
      </w:pPr>
      <w:r w:rsidRPr="004003D2">
        <w:rPr>
          <w:b/>
          <w:bCs/>
        </w:rPr>
        <w:t>Funzionalità comuni a tutti i moduli applicativi</w:t>
      </w:r>
      <w:r>
        <w:t xml:space="preserve"> </w:t>
      </w:r>
      <w:r w:rsidR="00B32455">
        <w:t>–</w:t>
      </w:r>
      <w:r>
        <w:t xml:space="preserve"> </w:t>
      </w:r>
      <w:r w:rsidR="00B32455">
        <w:t xml:space="preserve">Esporre le funzionalità disponibili per l’esportazione dei dati gestiti tramite i moduli applicativi, con particolare riferimento a: </w:t>
      </w:r>
      <w:r w:rsidR="002E05DC">
        <w:t xml:space="preserve">eventuale possibilità, da parte dell’utente, di selezionare </w:t>
      </w:r>
      <w:r w:rsidR="008358D5">
        <w:t xml:space="preserve">le voci da esportare in maniera autonoma </w:t>
      </w:r>
      <w:r w:rsidR="00F1132A">
        <w:t>e altamente personalizzata (senza l’intervento dei tecnici del fornitore)</w:t>
      </w:r>
      <w:r w:rsidR="00217F8B">
        <w:t xml:space="preserve">, </w:t>
      </w:r>
      <w:r w:rsidR="00B95892">
        <w:t xml:space="preserve">formati di export </w:t>
      </w:r>
      <w:r w:rsidR="00461E7C">
        <w:t>modificabili, ecc.</w:t>
      </w:r>
    </w:p>
    <w:tbl>
      <w:tblPr>
        <w:tblStyle w:val="Grigliatabella"/>
        <w:tblW w:w="0" w:type="auto"/>
        <w:tblLook w:val="04A0" w:firstRow="1" w:lastRow="0" w:firstColumn="1" w:lastColumn="0" w:noHBand="0" w:noVBand="1"/>
      </w:tblPr>
      <w:tblGrid>
        <w:gridCol w:w="9628"/>
      </w:tblGrid>
      <w:tr w:rsidR="00EE7219" w14:paraId="7D74AACA" w14:textId="77777777" w:rsidTr="00EE7219">
        <w:trPr>
          <w:trHeight w:val="1701"/>
        </w:trPr>
        <w:tc>
          <w:tcPr>
            <w:tcW w:w="9628" w:type="dxa"/>
          </w:tcPr>
          <w:p w14:paraId="2FBCEA48" w14:textId="77777777" w:rsidR="00EE7219" w:rsidRDefault="00EE7219" w:rsidP="00EE7219">
            <w:pPr>
              <w:jc w:val="both"/>
            </w:pPr>
          </w:p>
        </w:tc>
      </w:tr>
    </w:tbl>
    <w:p w14:paraId="4369D04E" w14:textId="77777777" w:rsidR="00C24FE8" w:rsidRPr="00C24FE8" w:rsidRDefault="00C24FE8" w:rsidP="00C24FE8"/>
    <w:p w14:paraId="3FA88502" w14:textId="312A6B79" w:rsidR="00814062" w:rsidRDefault="00814062" w:rsidP="00814062">
      <w:pPr>
        <w:pStyle w:val="Paragrafoelenco"/>
        <w:numPr>
          <w:ilvl w:val="0"/>
          <w:numId w:val="5"/>
        </w:numPr>
        <w:jc w:val="both"/>
      </w:pPr>
      <w:r w:rsidRPr="004003D2">
        <w:rPr>
          <w:b/>
          <w:bCs/>
        </w:rPr>
        <w:t>Funzionalità comuni a tutti i moduli applicativi</w:t>
      </w:r>
      <w:r>
        <w:t xml:space="preserve"> – Indicare e descrivere l’eventuale disponibilità di un modulo di Business Intelligence, anche non compreso nei moduli in oggetto, integrato / integrabile con la fornitura in oggetto e specificare le </w:t>
      </w:r>
      <w:r w:rsidR="00AA6812">
        <w:t>categorie di dati / moduli con le quali si integra</w:t>
      </w:r>
      <w:r w:rsidR="00CC3097">
        <w:t>.</w:t>
      </w:r>
    </w:p>
    <w:tbl>
      <w:tblPr>
        <w:tblStyle w:val="Grigliatabella"/>
        <w:tblW w:w="0" w:type="auto"/>
        <w:tblLook w:val="04A0" w:firstRow="1" w:lastRow="0" w:firstColumn="1" w:lastColumn="0" w:noHBand="0" w:noVBand="1"/>
      </w:tblPr>
      <w:tblGrid>
        <w:gridCol w:w="9628"/>
      </w:tblGrid>
      <w:tr w:rsidR="0004467F" w14:paraId="423B00D2" w14:textId="77777777" w:rsidTr="0004467F">
        <w:trPr>
          <w:trHeight w:val="1701"/>
        </w:trPr>
        <w:tc>
          <w:tcPr>
            <w:tcW w:w="9628" w:type="dxa"/>
          </w:tcPr>
          <w:p w14:paraId="1D96EE27" w14:textId="77777777" w:rsidR="0004467F" w:rsidRDefault="0004467F" w:rsidP="0004467F"/>
        </w:tc>
      </w:tr>
    </w:tbl>
    <w:p w14:paraId="562C0A5A" w14:textId="77777777" w:rsidR="00C24FE8" w:rsidRPr="00C24FE8" w:rsidRDefault="00C24FE8" w:rsidP="00C24FE8"/>
    <w:p w14:paraId="1DD899F1" w14:textId="4D6927E3" w:rsidR="00F01A5E" w:rsidRDefault="00F01A5E" w:rsidP="00814062">
      <w:pPr>
        <w:pStyle w:val="Paragrafoelenco"/>
        <w:numPr>
          <w:ilvl w:val="0"/>
          <w:numId w:val="5"/>
        </w:numPr>
        <w:jc w:val="both"/>
      </w:pPr>
      <w:r w:rsidRPr="0004467F">
        <w:rPr>
          <w:b/>
          <w:bCs/>
        </w:rPr>
        <w:t>Funzionalità comuni a tutti i moduli applicativi</w:t>
      </w:r>
      <w:r>
        <w:t xml:space="preserve"> – </w:t>
      </w:r>
      <w:r w:rsidR="004003D2">
        <w:t>Indicare la disponibilità e le principali funzionalità</w:t>
      </w:r>
      <w:r w:rsidR="0004467F">
        <w:t xml:space="preserve"> </w:t>
      </w:r>
      <w:r w:rsidR="00411627">
        <w:t xml:space="preserve">– con riferimento a ciascun modulo applicativo in oggetto - </w:t>
      </w:r>
      <w:r w:rsidR="004003D2">
        <w:t xml:space="preserve">per </w:t>
      </w:r>
      <w:r w:rsidR="008E3C28">
        <w:t>la fruizione della soluzione tramite dispositivi mo</w:t>
      </w:r>
      <w:r w:rsidR="00273525">
        <w:t>bil</w:t>
      </w:r>
      <w:r w:rsidR="008E3C28">
        <w:t>i Android e iOS</w:t>
      </w:r>
      <w:r w:rsidR="00CC3097">
        <w:t>.</w:t>
      </w:r>
    </w:p>
    <w:tbl>
      <w:tblPr>
        <w:tblStyle w:val="Grigliatabella"/>
        <w:tblW w:w="0" w:type="auto"/>
        <w:tblLook w:val="04A0" w:firstRow="1" w:lastRow="0" w:firstColumn="1" w:lastColumn="0" w:noHBand="0" w:noVBand="1"/>
      </w:tblPr>
      <w:tblGrid>
        <w:gridCol w:w="9628"/>
      </w:tblGrid>
      <w:tr w:rsidR="00E47EF8" w14:paraId="044F5E6F" w14:textId="77777777" w:rsidTr="00E47EF8">
        <w:trPr>
          <w:trHeight w:val="1701"/>
        </w:trPr>
        <w:tc>
          <w:tcPr>
            <w:tcW w:w="9628" w:type="dxa"/>
          </w:tcPr>
          <w:p w14:paraId="28489A2C" w14:textId="77777777" w:rsidR="00E47EF8" w:rsidRDefault="00E47EF8" w:rsidP="00E47EF8">
            <w:pPr>
              <w:jc w:val="both"/>
            </w:pPr>
          </w:p>
        </w:tc>
      </w:tr>
    </w:tbl>
    <w:p w14:paraId="00523B97" w14:textId="243EE3E8" w:rsidR="00C24FE8" w:rsidRDefault="00C24FE8" w:rsidP="00C24FE8"/>
    <w:p w14:paraId="1BB9F042" w14:textId="77777777" w:rsidR="00413FC5" w:rsidRPr="00C24FE8" w:rsidRDefault="00413FC5" w:rsidP="00C24FE8"/>
    <w:p w14:paraId="4A076181" w14:textId="72960532" w:rsidR="00A23176" w:rsidRDefault="00A23176" w:rsidP="00A23176">
      <w:pPr>
        <w:pStyle w:val="Paragrafoelenco"/>
        <w:numPr>
          <w:ilvl w:val="0"/>
          <w:numId w:val="5"/>
        </w:numPr>
        <w:jc w:val="both"/>
      </w:pPr>
      <w:r w:rsidRPr="00E47EF8">
        <w:rPr>
          <w:b/>
          <w:bCs/>
        </w:rPr>
        <w:t>Accessibilità</w:t>
      </w:r>
      <w:r w:rsidRPr="00957E8D">
        <w:t xml:space="preserve"> - Indicare le funzionalità </w:t>
      </w:r>
      <w:r>
        <w:t xml:space="preserve">rese </w:t>
      </w:r>
      <w:r w:rsidRPr="00957E8D">
        <w:t>accessibili da soggetti non vedenti / ipovedenti e le relative utilities</w:t>
      </w:r>
      <w:r>
        <w:t xml:space="preserve"> (p.e. </w:t>
      </w:r>
      <w:proofErr w:type="spellStart"/>
      <w:r>
        <w:t>Jaws</w:t>
      </w:r>
      <w:proofErr w:type="spellEnd"/>
      <w:r>
        <w:t xml:space="preserve">, </w:t>
      </w:r>
      <w:proofErr w:type="spellStart"/>
      <w:r>
        <w:t>VoiceOver</w:t>
      </w:r>
      <w:proofErr w:type="spellEnd"/>
      <w:r>
        <w:t>, ecc.)</w:t>
      </w:r>
      <w:r w:rsidRPr="00957E8D">
        <w:t xml:space="preserve"> per le quali è testata la compatibilità</w:t>
      </w:r>
      <w:r>
        <w:t>, con particolare riferimento a</w:t>
      </w:r>
      <w:r w:rsidRPr="00957E8D">
        <w:t>gli strumenti di generazione e consultazione della reportistica</w:t>
      </w:r>
      <w:r>
        <w:t xml:space="preserve"> e con le funzionalità ad uso dei dipendenti dell’Amministrazione (p.e. portale del dipendente)</w:t>
      </w:r>
      <w:r w:rsidR="00CC3097">
        <w:t>.</w:t>
      </w:r>
    </w:p>
    <w:tbl>
      <w:tblPr>
        <w:tblStyle w:val="Grigliatabella"/>
        <w:tblW w:w="0" w:type="auto"/>
        <w:tblLook w:val="04A0" w:firstRow="1" w:lastRow="0" w:firstColumn="1" w:lastColumn="0" w:noHBand="0" w:noVBand="1"/>
      </w:tblPr>
      <w:tblGrid>
        <w:gridCol w:w="9628"/>
      </w:tblGrid>
      <w:tr w:rsidR="00A23176" w14:paraId="2E7F0547" w14:textId="77777777" w:rsidTr="00662D04">
        <w:trPr>
          <w:trHeight w:val="1701"/>
        </w:trPr>
        <w:tc>
          <w:tcPr>
            <w:tcW w:w="9628" w:type="dxa"/>
          </w:tcPr>
          <w:p w14:paraId="18346E7A" w14:textId="77777777" w:rsidR="00A23176" w:rsidRDefault="00A23176" w:rsidP="00662D04">
            <w:pPr>
              <w:jc w:val="both"/>
            </w:pPr>
          </w:p>
        </w:tc>
      </w:tr>
    </w:tbl>
    <w:p w14:paraId="2F94F06B" w14:textId="77777777" w:rsidR="00C24FE8" w:rsidRPr="00C24FE8" w:rsidRDefault="00C24FE8" w:rsidP="00C24FE8"/>
    <w:p w14:paraId="5F38442B" w14:textId="6DC4BD09" w:rsidR="006C7E53" w:rsidRDefault="008B0F0D" w:rsidP="00AE4C65">
      <w:pPr>
        <w:pStyle w:val="Paragrafoelenco"/>
        <w:numPr>
          <w:ilvl w:val="0"/>
          <w:numId w:val="5"/>
        </w:numPr>
        <w:jc w:val="both"/>
      </w:pPr>
      <w:r w:rsidRPr="00E47EF8">
        <w:rPr>
          <w:b/>
          <w:bCs/>
        </w:rPr>
        <w:t>Patrimonio</w:t>
      </w:r>
      <w:r>
        <w:t xml:space="preserve"> </w:t>
      </w:r>
      <w:r w:rsidR="004A0F21">
        <w:t>–</w:t>
      </w:r>
      <w:r>
        <w:t xml:space="preserve"> </w:t>
      </w:r>
      <w:r w:rsidR="00310432">
        <w:t>In relazione alla gestione delle alienazioni parziali</w:t>
      </w:r>
      <w:r w:rsidR="006221E4">
        <w:t>, esporre le modalità</w:t>
      </w:r>
      <w:r w:rsidR="00885BA5">
        <w:t xml:space="preserve"> </w:t>
      </w:r>
      <w:r w:rsidR="002B0593">
        <w:t>rese disponibili</w:t>
      </w:r>
      <w:r w:rsidR="00BE4057">
        <w:t xml:space="preserve"> dall’applicativo per</w:t>
      </w:r>
      <w:r w:rsidR="006A556B">
        <w:t xml:space="preserve"> gestione delle stesse</w:t>
      </w:r>
      <w:r w:rsidR="004859F5">
        <w:t xml:space="preserve"> (funzion</w:t>
      </w:r>
      <w:r w:rsidR="00F612D4">
        <w:t>alità</w:t>
      </w:r>
      <w:r w:rsidR="004859F5">
        <w:t xml:space="preserve"> di frazionamento</w:t>
      </w:r>
      <w:r w:rsidR="00F612D4">
        <w:t xml:space="preserve"> / </w:t>
      </w:r>
      <w:r w:rsidR="001F38E3">
        <w:t xml:space="preserve">necessità di registrare </w:t>
      </w:r>
      <w:r w:rsidR="0060786D">
        <w:t>i beni che possano essere oggetto di tale p</w:t>
      </w:r>
      <w:r w:rsidR="00A22445">
        <w:t>rocedura come cespiti distinti, ecc.)</w:t>
      </w:r>
      <w:r w:rsidR="00CC3097">
        <w:t>.</w:t>
      </w:r>
    </w:p>
    <w:tbl>
      <w:tblPr>
        <w:tblStyle w:val="Grigliatabella"/>
        <w:tblW w:w="0" w:type="auto"/>
        <w:tblLook w:val="04A0" w:firstRow="1" w:lastRow="0" w:firstColumn="1" w:lastColumn="0" w:noHBand="0" w:noVBand="1"/>
      </w:tblPr>
      <w:tblGrid>
        <w:gridCol w:w="9628"/>
      </w:tblGrid>
      <w:tr w:rsidR="00E47EF8" w14:paraId="235D8D54" w14:textId="77777777" w:rsidTr="00E47EF8">
        <w:trPr>
          <w:trHeight w:val="1701"/>
        </w:trPr>
        <w:tc>
          <w:tcPr>
            <w:tcW w:w="9628" w:type="dxa"/>
          </w:tcPr>
          <w:p w14:paraId="6B367619" w14:textId="77777777" w:rsidR="00E47EF8" w:rsidRDefault="00E47EF8" w:rsidP="00E47EF8">
            <w:pPr>
              <w:jc w:val="both"/>
            </w:pPr>
          </w:p>
        </w:tc>
      </w:tr>
    </w:tbl>
    <w:p w14:paraId="1BCC0A66" w14:textId="77777777" w:rsidR="00C24FE8" w:rsidRPr="00C24FE8" w:rsidRDefault="00C24FE8" w:rsidP="00C24FE8"/>
    <w:p w14:paraId="40A23CE0" w14:textId="77777777" w:rsidR="00FA6E86" w:rsidRDefault="00FA6E86" w:rsidP="00AE4C65">
      <w:pPr>
        <w:pStyle w:val="Paragrafoelenco"/>
        <w:numPr>
          <w:ilvl w:val="0"/>
          <w:numId w:val="5"/>
        </w:numPr>
        <w:jc w:val="both"/>
      </w:pPr>
      <w:r w:rsidRPr="00E47EF8">
        <w:rPr>
          <w:b/>
          <w:bCs/>
        </w:rPr>
        <w:t>Patrimonio</w:t>
      </w:r>
      <w:r>
        <w:t xml:space="preserve"> </w:t>
      </w:r>
      <w:r w:rsidR="004541F3">
        <w:t>–</w:t>
      </w:r>
      <w:r>
        <w:t xml:space="preserve"> </w:t>
      </w:r>
      <w:r w:rsidR="004541F3">
        <w:t xml:space="preserve">Indicare la disponibilità </w:t>
      </w:r>
      <w:r w:rsidR="00A2138E">
        <w:t xml:space="preserve">e descrivere le funzionalità e specifiche </w:t>
      </w:r>
      <w:r w:rsidR="004541F3">
        <w:t xml:space="preserve">di </w:t>
      </w:r>
      <w:r w:rsidR="00D513F0">
        <w:t>strumenti per la gestione dell’inventario</w:t>
      </w:r>
      <w:r w:rsidR="00AC32F1">
        <w:t xml:space="preserve"> tramite dispositivi mobili</w:t>
      </w:r>
      <w:r w:rsidR="00A023CE">
        <w:t xml:space="preserve"> Android e iOS</w:t>
      </w:r>
      <w:r w:rsidR="00AC32F1">
        <w:t xml:space="preserve"> (</w:t>
      </w:r>
      <w:r w:rsidR="0071175D">
        <w:t xml:space="preserve">compresi </w:t>
      </w:r>
      <w:proofErr w:type="spellStart"/>
      <w:r w:rsidR="0080020F">
        <w:t>QRCode</w:t>
      </w:r>
      <w:proofErr w:type="spellEnd"/>
      <w:r w:rsidR="0080020F">
        <w:t xml:space="preserve"> / </w:t>
      </w:r>
      <w:proofErr w:type="spellStart"/>
      <w:r w:rsidR="0080020F">
        <w:t>BarCode</w:t>
      </w:r>
      <w:proofErr w:type="spellEnd"/>
      <w:r w:rsidR="0080020F">
        <w:t xml:space="preserve"> </w:t>
      </w:r>
      <w:r w:rsidR="00043CC9">
        <w:t xml:space="preserve">generati </w:t>
      </w:r>
      <w:r w:rsidR="002A3975">
        <w:t>tramite modulo deputato alla gestione del Patrimonio</w:t>
      </w:r>
      <w:r w:rsidR="00C17067">
        <w:t>,</w:t>
      </w:r>
      <w:r w:rsidR="002A3975">
        <w:t xml:space="preserve"> </w:t>
      </w:r>
      <w:r w:rsidR="0080020F">
        <w:t>scan</w:t>
      </w:r>
      <w:r w:rsidR="00CE7A74">
        <w:t>s</w:t>
      </w:r>
      <w:r w:rsidR="0080020F">
        <w:t>ion</w:t>
      </w:r>
      <w:r w:rsidR="00C17067">
        <w:t>e dei tag</w:t>
      </w:r>
      <w:r w:rsidR="0080020F">
        <w:t xml:space="preserve"> tramite a</w:t>
      </w:r>
      <w:r w:rsidR="00CE7A74">
        <w:t xml:space="preserve">pp per aggiornamento </w:t>
      </w:r>
      <w:r w:rsidR="00F01A5E">
        <w:t>dell’inventario)</w:t>
      </w:r>
      <w:r w:rsidR="00CC3097">
        <w:t>.</w:t>
      </w:r>
    </w:p>
    <w:tbl>
      <w:tblPr>
        <w:tblStyle w:val="Grigliatabella"/>
        <w:tblW w:w="0" w:type="auto"/>
        <w:tblLook w:val="04A0" w:firstRow="1" w:lastRow="0" w:firstColumn="1" w:lastColumn="0" w:noHBand="0" w:noVBand="1"/>
      </w:tblPr>
      <w:tblGrid>
        <w:gridCol w:w="9628"/>
      </w:tblGrid>
      <w:tr w:rsidR="0071175D" w14:paraId="00EB6022" w14:textId="77777777" w:rsidTr="0071175D">
        <w:trPr>
          <w:trHeight w:val="1701"/>
        </w:trPr>
        <w:tc>
          <w:tcPr>
            <w:tcW w:w="9628" w:type="dxa"/>
          </w:tcPr>
          <w:p w14:paraId="44580CAF" w14:textId="77777777" w:rsidR="0071175D" w:rsidRDefault="0071175D" w:rsidP="0071175D">
            <w:pPr>
              <w:jc w:val="both"/>
            </w:pPr>
          </w:p>
        </w:tc>
      </w:tr>
    </w:tbl>
    <w:p w14:paraId="1392881C" w14:textId="77777777" w:rsidR="00C24FE8" w:rsidRPr="00C24FE8" w:rsidRDefault="00C24FE8" w:rsidP="00C24FE8"/>
    <w:p w14:paraId="16F50013" w14:textId="2228D57B" w:rsidR="007F3DCC" w:rsidRDefault="00CD1B0B" w:rsidP="00AE4C65">
      <w:pPr>
        <w:pStyle w:val="Paragrafoelenco"/>
        <w:numPr>
          <w:ilvl w:val="0"/>
          <w:numId w:val="5"/>
        </w:numPr>
        <w:jc w:val="both"/>
      </w:pPr>
      <w:r w:rsidRPr="00E47EF8">
        <w:rPr>
          <w:b/>
          <w:bCs/>
        </w:rPr>
        <w:t>Atti Amministrativi</w:t>
      </w:r>
      <w:r>
        <w:t xml:space="preserve"> – Esporre l</w:t>
      </w:r>
      <w:r w:rsidR="00761092">
        <w:t xml:space="preserve">a funzionalità disponibile per l’oscuramento dei dati </w:t>
      </w:r>
      <w:r w:rsidR="009B1776">
        <w:t>identificativi delle persone fisiche</w:t>
      </w:r>
      <w:r w:rsidR="00B00427">
        <w:t xml:space="preserve"> </w:t>
      </w:r>
      <w:r w:rsidR="009B1776">
        <w:t xml:space="preserve">destinatarie dei provvedimenti di cui all’. art 26 del </w:t>
      </w:r>
      <w:proofErr w:type="spellStart"/>
      <w:r w:rsidR="009B1776">
        <w:t>D.Lgs.</w:t>
      </w:r>
      <w:proofErr w:type="spellEnd"/>
      <w:r w:rsidR="009B1776">
        <w:t xml:space="preserve"> 33/2013</w:t>
      </w:r>
      <w:r w:rsidR="00B00427">
        <w:t xml:space="preserve"> nei casi previsti dallo stesso</w:t>
      </w:r>
      <w:r w:rsidR="00CC3097">
        <w:t>.</w:t>
      </w:r>
    </w:p>
    <w:tbl>
      <w:tblPr>
        <w:tblStyle w:val="Grigliatabella"/>
        <w:tblW w:w="0" w:type="auto"/>
        <w:tblLook w:val="04A0" w:firstRow="1" w:lastRow="0" w:firstColumn="1" w:lastColumn="0" w:noHBand="0" w:noVBand="1"/>
      </w:tblPr>
      <w:tblGrid>
        <w:gridCol w:w="9628"/>
      </w:tblGrid>
      <w:tr w:rsidR="0071175D" w14:paraId="18883B31" w14:textId="77777777" w:rsidTr="0071175D">
        <w:trPr>
          <w:trHeight w:val="1701"/>
        </w:trPr>
        <w:tc>
          <w:tcPr>
            <w:tcW w:w="9628" w:type="dxa"/>
          </w:tcPr>
          <w:p w14:paraId="763CE0C7" w14:textId="77777777" w:rsidR="0071175D" w:rsidRDefault="0071175D" w:rsidP="0071175D">
            <w:pPr>
              <w:jc w:val="both"/>
            </w:pPr>
          </w:p>
        </w:tc>
      </w:tr>
    </w:tbl>
    <w:p w14:paraId="78E39225" w14:textId="77777777" w:rsidR="00C24FE8" w:rsidRPr="00C24FE8" w:rsidRDefault="00C24FE8" w:rsidP="00C24FE8"/>
    <w:p w14:paraId="39390CD9" w14:textId="777C5C08" w:rsidR="00132DE3" w:rsidRPr="00A23176" w:rsidRDefault="00EA3071" w:rsidP="00132DE3">
      <w:pPr>
        <w:pStyle w:val="Paragrafoelenco"/>
        <w:numPr>
          <w:ilvl w:val="0"/>
          <w:numId w:val="5"/>
        </w:numPr>
        <w:jc w:val="both"/>
      </w:pPr>
      <w:r>
        <w:rPr>
          <w:b/>
          <w:bCs/>
        </w:rPr>
        <w:t xml:space="preserve">Contabilità </w:t>
      </w:r>
      <w:r w:rsidR="005B3931">
        <w:rPr>
          <w:b/>
          <w:bCs/>
        </w:rPr>
        <w:t xml:space="preserve">– </w:t>
      </w:r>
      <w:r w:rsidR="00372DD1" w:rsidRPr="00A23176">
        <w:t>I</w:t>
      </w:r>
      <w:r w:rsidR="005B3931" w:rsidRPr="00A23176">
        <w:t xml:space="preserve">ndicare se il </w:t>
      </w:r>
      <w:r w:rsidR="00372DD1" w:rsidRPr="00A23176">
        <w:t xml:space="preserve">modulo è integrato </w:t>
      </w:r>
      <w:r w:rsidR="00132DE3" w:rsidRPr="00A23176">
        <w:t>col sistema SIOPE+</w:t>
      </w:r>
      <w:r w:rsidR="003E4A70" w:rsidRPr="00A23176">
        <w:t xml:space="preserve"> e</w:t>
      </w:r>
      <w:r w:rsidR="00372DD1" w:rsidRPr="00A23176">
        <w:t xml:space="preserve"> </w:t>
      </w:r>
      <w:r w:rsidR="00E84656" w:rsidRPr="00A23176">
        <w:t xml:space="preserve">se </w:t>
      </w:r>
      <w:r w:rsidR="003B3F2A" w:rsidRPr="00A23176">
        <w:t xml:space="preserve">si </w:t>
      </w:r>
      <w:r w:rsidR="00E84656" w:rsidRPr="00A23176">
        <w:t xml:space="preserve">utilizza </w:t>
      </w:r>
      <w:r w:rsidR="003B3F2A" w:rsidRPr="00A23176">
        <w:t>un servizio di intermediazione</w:t>
      </w:r>
      <w:r w:rsidR="00CC3097">
        <w:t>.</w:t>
      </w:r>
    </w:p>
    <w:tbl>
      <w:tblPr>
        <w:tblStyle w:val="Grigliatabella"/>
        <w:tblW w:w="0" w:type="auto"/>
        <w:tblLook w:val="04A0" w:firstRow="1" w:lastRow="0" w:firstColumn="1" w:lastColumn="0" w:noHBand="0" w:noVBand="1"/>
      </w:tblPr>
      <w:tblGrid>
        <w:gridCol w:w="9628"/>
      </w:tblGrid>
      <w:tr w:rsidR="00132DE3" w14:paraId="3A790427" w14:textId="77777777" w:rsidTr="00132DE3">
        <w:trPr>
          <w:trHeight w:val="1701"/>
        </w:trPr>
        <w:tc>
          <w:tcPr>
            <w:tcW w:w="9628" w:type="dxa"/>
          </w:tcPr>
          <w:p w14:paraId="4CF051A5" w14:textId="77777777" w:rsidR="00132DE3" w:rsidRDefault="00132DE3" w:rsidP="00132DE3"/>
        </w:tc>
      </w:tr>
    </w:tbl>
    <w:p w14:paraId="09585698" w14:textId="77777777" w:rsidR="00C24FE8" w:rsidRPr="00C24FE8" w:rsidRDefault="00C24FE8" w:rsidP="00C24FE8"/>
    <w:p w14:paraId="7492938E" w14:textId="4D6A7D5E" w:rsidR="006666DB" w:rsidRPr="00BD7FE5" w:rsidRDefault="006666DB" w:rsidP="00132DE3">
      <w:pPr>
        <w:pStyle w:val="Paragrafoelenco"/>
        <w:numPr>
          <w:ilvl w:val="0"/>
          <w:numId w:val="5"/>
        </w:numPr>
        <w:jc w:val="both"/>
      </w:pPr>
      <w:r w:rsidRPr="00BD7FE5">
        <w:rPr>
          <w:b/>
          <w:bCs/>
        </w:rPr>
        <w:t xml:space="preserve">Contabilità </w:t>
      </w:r>
      <w:r w:rsidRPr="00BD7FE5">
        <w:t xml:space="preserve">– Esporre </w:t>
      </w:r>
      <w:r w:rsidR="00E905DB" w:rsidRPr="00BD7FE5">
        <w:t xml:space="preserve">le </w:t>
      </w:r>
      <w:r w:rsidR="008F4227" w:rsidRPr="00BD7FE5">
        <w:t xml:space="preserve">modalità e </w:t>
      </w:r>
      <w:r w:rsidR="00E905DB" w:rsidRPr="00BD7FE5">
        <w:t xml:space="preserve">funzionalità </w:t>
      </w:r>
      <w:r w:rsidR="00120DE8" w:rsidRPr="00BD7FE5">
        <w:t xml:space="preserve">per la contabilizzazione degli stipendi e </w:t>
      </w:r>
      <w:r w:rsidR="000F348A" w:rsidRPr="00BD7FE5">
        <w:t>la generazione delle buste paga</w:t>
      </w:r>
      <w:r w:rsidR="00CC3097" w:rsidRPr="00BD7FE5">
        <w:t>.</w:t>
      </w:r>
    </w:p>
    <w:tbl>
      <w:tblPr>
        <w:tblStyle w:val="Grigliatabella"/>
        <w:tblW w:w="0" w:type="auto"/>
        <w:tblLook w:val="04A0" w:firstRow="1" w:lastRow="0" w:firstColumn="1" w:lastColumn="0" w:noHBand="0" w:noVBand="1"/>
      </w:tblPr>
      <w:tblGrid>
        <w:gridCol w:w="9628"/>
      </w:tblGrid>
      <w:tr w:rsidR="000F348A" w14:paraId="2862111E" w14:textId="77777777" w:rsidTr="000F348A">
        <w:trPr>
          <w:trHeight w:val="1701"/>
        </w:trPr>
        <w:tc>
          <w:tcPr>
            <w:tcW w:w="9628" w:type="dxa"/>
          </w:tcPr>
          <w:p w14:paraId="572B04C0" w14:textId="77777777" w:rsidR="000F348A" w:rsidRDefault="000F348A" w:rsidP="000F348A">
            <w:pPr>
              <w:jc w:val="both"/>
              <w:rPr>
                <w:highlight w:val="yellow"/>
              </w:rPr>
            </w:pPr>
          </w:p>
        </w:tc>
      </w:tr>
    </w:tbl>
    <w:p w14:paraId="72DAF804" w14:textId="77777777" w:rsidR="00C24FE8" w:rsidRPr="00C24FE8" w:rsidRDefault="00C24FE8" w:rsidP="00C24FE8"/>
    <w:p w14:paraId="76B26F41" w14:textId="1CFEB7B9" w:rsidR="00E57AFA" w:rsidRDefault="00E57AFA" w:rsidP="00132DE3">
      <w:pPr>
        <w:pStyle w:val="Paragrafoelenco"/>
        <w:numPr>
          <w:ilvl w:val="0"/>
          <w:numId w:val="5"/>
        </w:numPr>
        <w:jc w:val="both"/>
      </w:pPr>
      <w:r w:rsidRPr="00755466">
        <w:rPr>
          <w:b/>
          <w:bCs/>
        </w:rPr>
        <w:t xml:space="preserve">Contabilità </w:t>
      </w:r>
      <w:r w:rsidR="00352166">
        <w:t>–</w:t>
      </w:r>
      <w:r>
        <w:t xml:space="preserve"> </w:t>
      </w:r>
      <w:r w:rsidR="00352166">
        <w:t xml:space="preserve">Indicare se </w:t>
      </w:r>
      <w:r w:rsidR="00142AAD">
        <w:t>le funzionalità del</w:t>
      </w:r>
      <w:r w:rsidR="00352166">
        <w:t xml:space="preserve"> modulo </w:t>
      </w:r>
      <w:r w:rsidR="00B948C9">
        <w:t xml:space="preserve">permettono </w:t>
      </w:r>
      <w:r w:rsidR="007E6ED8">
        <w:t>l’inserimento di accertamenti multipli in un’unica fattura</w:t>
      </w:r>
      <w:r w:rsidR="00CC3097">
        <w:t>.</w:t>
      </w:r>
    </w:p>
    <w:tbl>
      <w:tblPr>
        <w:tblStyle w:val="Grigliatabella"/>
        <w:tblW w:w="0" w:type="auto"/>
        <w:tblLook w:val="04A0" w:firstRow="1" w:lastRow="0" w:firstColumn="1" w:lastColumn="0" w:noHBand="0" w:noVBand="1"/>
      </w:tblPr>
      <w:tblGrid>
        <w:gridCol w:w="9628"/>
      </w:tblGrid>
      <w:tr w:rsidR="00755466" w14:paraId="348C29E6" w14:textId="77777777" w:rsidTr="00755466">
        <w:trPr>
          <w:trHeight w:val="1701"/>
        </w:trPr>
        <w:tc>
          <w:tcPr>
            <w:tcW w:w="9628" w:type="dxa"/>
          </w:tcPr>
          <w:p w14:paraId="15FA0B32" w14:textId="77777777" w:rsidR="00755466" w:rsidRDefault="00755466" w:rsidP="00755466">
            <w:pPr>
              <w:jc w:val="both"/>
            </w:pPr>
          </w:p>
        </w:tc>
      </w:tr>
    </w:tbl>
    <w:p w14:paraId="4F47D471" w14:textId="77777777" w:rsidR="00C24FE8" w:rsidRPr="00C24FE8" w:rsidRDefault="00C24FE8" w:rsidP="00C24FE8"/>
    <w:p w14:paraId="4DEE0AC8" w14:textId="55699A0D" w:rsidR="00F95F73" w:rsidRDefault="00F95F73" w:rsidP="00132DE3">
      <w:pPr>
        <w:pStyle w:val="Paragrafoelenco"/>
        <w:numPr>
          <w:ilvl w:val="0"/>
          <w:numId w:val="5"/>
        </w:numPr>
        <w:jc w:val="both"/>
      </w:pPr>
      <w:r>
        <w:rPr>
          <w:b/>
          <w:bCs/>
        </w:rPr>
        <w:t xml:space="preserve">Contabilità </w:t>
      </w:r>
      <w:r w:rsidR="004510CE">
        <w:t>–</w:t>
      </w:r>
      <w:r>
        <w:rPr>
          <w:b/>
          <w:bCs/>
        </w:rPr>
        <w:t xml:space="preserve"> </w:t>
      </w:r>
      <w:r w:rsidR="004510CE" w:rsidRPr="009D2011">
        <w:t xml:space="preserve">Esporre </w:t>
      </w:r>
      <w:r w:rsidR="00114D60" w:rsidRPr="009D2011">
        <w:t>le funzionalità per la redazione del Bilancio Consol</w:t>
      </w:r>
      <w:r w:rsidR="009D2011" w:rsidRPr="009D2011">
        <w:t>idato</w:t>
      </w:r>
      <w:r w:rsidR="00C65AD0">
        <w:t xml:space="preserve"> e indicare se il servizio è </w:t>
      </w:r>
      <w:r w:rsidR="00325F09">
        <w:t>esterno alla soluzione proposta</w:t>
      </w:r>
      <w:r w:rsidR="0049173D">
        <w:t>.</w:t>
      </w:r>
    </w:p>
    <w:tbl>
      <w:tblPr>
        <w:tblStyle w:val="Grigliatabella"/>
        <w:tblW w:w="0" w:type="auto"/>
        <w:tblLook w:val="04A0" w:firstRow="1" w:lastRow="0" w:firstColumn="1" w:lastColumn="0" w:noHBand="0" w:noVBand="1"/>
      </w:tblPr>
      <w:tblGrid>
        <w:gridCol w:w="9628"/>
      </w:tblGrid>
      <w:tr w:rsidR="0049173D" w14:paraId="5FC75813" w14:textId="77777777" w:rsidTr="0049173D">
        <w:trPr>
          <w:trHeight w:val="1701"/>
        </w:trPr>
        <w:tc>
          <w:tcPr>
            <w:tcW w:w="9628" w:type="dxa"/>
          </w:tcPr>
          <w:p w14:paraId="071F8894" w14:textId="77777777" w:rsidR="0049173D" w:rsidRDefault="0049173D" w:rsidP="0049173D">
            <w:pPr>
              <w:jc w:val="both"/>
            </w:pPr>
          </w:p>
        </w:tc>
      </w:tr>
    </w:tbl>
    <w:p w14:paraId="529A4402" w14:textId="77777777" w:rsidR="00C24FE8" w:rsidRPr="00C24FE8" w:rsidRDefault="00C24FE8" w:rsidP="00C24FE8"/>
    <w:p w14:paraId="55F058E6" w14:textId="11ADC639" w:rsidR="00C43CBC" w:rsidRDefault="00E34FFD" w:rsidP="00132DE3">
      <w:pPr>
        <w:pStyle w:val="Paragrafoelenco"/>
        <w:numPr>
          <w:ilvl w:val="0"/>
          <w:numId w:val="5"/>
        </w:numPr>
        <w:jc w:val="both"/>
      </w:pPr>
      <w:r w:rsidRPr="00132DE3">
        <w:rPr>
          <w:b/>
          <w:bCs/>
        </w:rPr>
        <w:t>Controllo di gestione</w:t>
      </w:r>
      <w:r w:rsidRPr="00E34FFD">
        <w:t xml:space="preserve"> - Esporre le funzionalità integrate nella soluzione proposta</w:t>
      </w:r>
      <w:r w:rsidR="00821599">
        <w:t>,</w:t>
      </w:r>
      <w:r w:rsidRPr="00E34FFD">
        <w:t xml:space="preserve"> per la gestione degli obiettivi dei dirigenti e della Relazione sulla performance</w:t>
      </w:r>
      <w:r w:rsidR="00B23E47">
        <w:t>.</w:t>
      </w:r>
    </w:p>
    <w:tbl>
      <w:tblPr>
        <w:tblStyle w:val="Grigliatabella"/>
        <w:tblW w:w="0" w:type="auto"/>
        <w:tblLook w:val="04A0" w:firstRow="1" w:lastRow="0" w:firstColumn="1" w:lastColumn="0" w:noHBand="0" w:noVBand="1"/>
      </w:tblPr>
      <w:tblGrid>
        <w:gridCol w:w="9628"/>
      </w:tblGrid>
      <w:tr w:rsidR="00070C50" w14:paraId="12AACE7F" w14:textId="77777777" w:rsidTr="00070C50">
        <w:trPr>
          <w:trHeight w:val="1701"/>
        </w:trPr>
        <w:tc>
          <w:tcPr>
            <w:tcW w:w="9628" w:type="dxa"/>
          </w:tcPr>
          <w:p w14:paraId="15665A81" w14:textId="77777777" w:rsidR="00070C50" w:rsidRDefault="00070C50" w:rsidP="00EF5E94">
            <w:pPr>
              <w:jc w:val="both"/>
            </w:pPr>
          </w:p>
        </w:tc>
      </w:tr>
    </w:tbl>
    <w:p w14:paraId="51106BF1" w14:textId="4EDC272D" w:rsidR="00B9350B" w:rsidRDefault="007F3DCC" w:rsidP="003E4CB9">
      <w:pPr>
        <w:pStyle w:val="Paragrafoelenco"/>
        <w:numPr>
          <w:ilvl w:val="0"/>
          <w:numId w:val="5"/>
        </w:numPr>
        <w:jc w:val="both"/>
      </w:pPr>
      <w:r w:rsidRPr="00E47EF8">
        <w:rPr>
          <w:b/>
          <w:bCs/>
        </w:rPr>
        <w:lastRenderedPageBreak/>
        <w:t xml:space="preserve">Risorse </w:t>
      </w:r>
      <w:r w:rsidRPr="009E75E5">
        <w:rPr>
          <w:b/>
          <w:bCs/>
        </w:rPr>
        <w:t>Umane</w:t>
      </w:r>
      <w:r w:rsidRPr="009E75E5">
        <w:t xml:space="preserve"> </w:t>
      </w:r>
      <w:r w:rsidR="006F7701" w:rsidRPr="009E75E5">
        <w:t>–</w:t>
      </w:r>
      <w:r w:rsidRPr="009E75E5">
        <w:t xml:space="preserve"> </w:t>
      </w:r>
      <w:r w:rsidR="006F7701" w:rsidRPr="009E75E5">
        <w:t xml:space="preserve">Indicare ed esporre le funzionalità per </w:t>
      </w:r>
      <w:r w:rsidR="00E737E9" w:rsidRPr="009E75E5">
        <w:t xml:space="preserve">la </w:t>
      </w:r>
      <w:r w:rsidR="001A72C3">
        <w:t xml:space="preserve">gestione e </w:t>
      </w:r>
      <w:r w:rsidR="00E737E9" w:rsidRPr="009E75E5">
        <w:t xml:space="preserve">richiesta dei permessi e ferie </w:t>
      </w:r>
      <w:r w:rsidR="001A72C3">
        <w:t>(compresi congedi parentali)</w:t>
      </w:r>
      <w:r w:rsidR="00F36C99" w:rsidRPr="009E75E5">
        <w:t xml:space="preserve"> e </w:t>
      </w:r>
      <w:r w:rsidR="003406E4" w:rsidRPr="009E75E5">
        <w:t>per l’i</w:t>
      </w:r>
      <w:r w:rsidR="00212145" w:rsidRPr="009E75E5">
        <w:t xml:space="preserve">ndicazione preventiva </w:t>
      </w:r>
      <w:r w:rsidR="003406E4" w:rsidRPr="009E75E5">
        <w:t>delle</w:t>
      </w:r>
      <w:r w:rsidR="00212145" w:rsidRPr="009E75E5">
        <w:t xml:space="preserve"> disponibilità </w:t>
      </w:r>
      <w:r w:rsidR="006670C7" w:rsidRPr="009E75E5">
        <w:t>degli stessi</w:t>
      </w:r>
      <w:r w:rsidR="009E75E5" w:rsidRPr="009E75E5">
        <w:t>,</w:t>
      </w:r>
      <w:r w:rsidR="006670C7" w:rsidRPr="009E75E5">
        <w:t xml:space="preserve"> in fase di richiesta da parte dell’utente</w:t>
      </w:r>
      <w:r w:rsidR="00CC3097">
        <w:t>.</w:t>
      </w:r>
    </w:p>
    <w:tbl>
      <w:tblPr>
        <w:tblStyle w:val="Grigliatabella"/>
        <w:tblW w:w="0" w:type="auto"/>
        <w:tblLook w:val="04A0" w:firstRow="1" w:lastRow="0" w:firstColumn="1" w:lastColumn="0" w:noHBand="0" w:noVBand="1"/>
      </w:tblPr>
      <w:tblGrid>
        <w:gridCol w:w="9628"/>
      </w:tblGrid>
      <w:tr w:rsidR="00BB1FE9" w14:paraId="3580F9C1" w14:textId="77777777" w:rsidTr="00BB1FE9">
        <w:trPr>
          <w:trHeight w:val="1701"/>
        </w:trPr>
        <w:tc>
          <w:tcPr>
            <w:tcW w:w="9628" w:type="dxa"/>
          </w:tcPr>
          <w:p w14:paraId="11AD040C" w14:textId="77777777" w:rsidR="00BB1FE9" w:rsidRDefault="00BB1FE9" w:rsidP="00092CE7">
            <w:pPr>
              <w:jc w:val="both"/>
            </w:pPr>
          </w:p>
        </w:tc>
      </w:tr>
    </w:tbl>
    <w:p w14:paraId="61087A01" w14:textId="77777777" w:rsidR="00C24FE8" w:rsidRPr="00C24FE8" w:rsidRDefault="00C24FE8" w:rsidP="00C24FE8">
      <w:pPr>
        <w:ind w:left="360"/>
        <w:jc w:val="both"/>
      </w:pPr>
    </w:p>
    <w:p w14:paraId="525AF393" w14:textId="032FEFA0" w:rsidR="00092CE7" w:rsidRPr="00C30D2B" w:rsidRDefault="00E51B56" w:rsidP="00283244">
      <w:pPr>
        <w:pStyle w:val="Paragrafoelenco"/>
        <w:numPr>
          <w:ilvl w:val="0"/>
          <w:numId w:val="5"/>
        </w:numPr>
        <w:jc w:val="both"/>
      </w:pPr>
      <w:r w:rsidRPr="00C30D2B">
        <w:rPr>
          <w:b/>
          <w:bCs/>
        </w:rPr>
        <w:t>Risorse Umane</w:t>
      </w:r>
      <w:r w:rsidRPr="00C30D2B">
        <w:t xml:space="preserve"> – </w:t>
      </w:r>
      <w:r w:rsidR="00DB1D12" w:rsidRPr="00C30D2B">
        <w:t>I</w:t>
      </w:r>
      <w:r w:rsidR="0073142B" w:rsidRPr="00C30D2B">
        <w:t>l</w:t>
      </w:r>
      <w:r w:rsidR="00DB1D12" w:rsidRPr="00C30D2B">
        <w:t xml:space="preserve"> Comune necessit</w:t>
      </w:r>
      <w:r w:rsidR="0073142B" w:rsidRPr="00C30D2B">
        <w:t xml:space="preserve">a di </w:t>
      </w:r>
      <w:r w:rsidR="00CC495F" w:rsidRPr="00C30D2B">
        <w:t>modalità</w:t>
      </w:r>
      <w:r w:rsidR="00706E88" w:rsidRPr="00C30D2B">
        <w:t xml:space="preserve"> adeguate </w:t>
      </w:r>
      <w:r w:rsidR="00405726" w:rsidRPr="00C30D2B">
        <w:t xml:space="preserve">alla gestione e </w:t>
      </w:r>
      <w:r w:rsidR="00C30D2B" w:rsidRPr="00C30D2B">
        <w:t>a</w:t>
      </w:r>
      <w:r w:rsidR="00405726" w:rsidRPr="00C30D2B">
        <w:t>l conteggio dell’orario del personale in funzione dell’ampia flessibilità settimanale.</w:t>
      </w:r>
      <w:r w:rsidR="00DB5CF0" w:rsidRPr="00C30D2B">
        <w:t xml:space="preserve"> Si richiede di </w:t>
      </w:r>
      <w:r w:rsidR="008A24E1" w:rsidRPr="00C30D2B">
        <w:t>esporre le funzionalità del modulo</w:t>
      </w:r>
      <w:r w:rsidR="00283244" w:rsidRPr="00C30D2B">
        <w:t xml:space="preserve"> dedicate a tale scopo.</w:t>
      </w:r>
      <w:r w:rsidR="009D08D2" w:rsidRPr="00C30D2B">
        <w:t xml:space="preserve"> </w:t>
      </w:r>
    </w:p>
    <w:tbl>
      <w:tblPr>
        <w:tblStyle w:val="Grigliatabella"/>
        <w:tblW w:w="0" w:type="auto"/>
        <w:tblLook w:val="04A0" w:firstRow="1" w:lastRow="0" w:firstColumn="1" w:lastColumn="0" w:noHBand="0" w:noVBand="1"/>
      </w:tblPr>
      <w:tblGrid>
        <w:gridCol w:w="9628"/>
      </w:tblGrid>
      <w:tr w:rsidR="00283244" w14:paraId="63FB52FE" w14:textId="77777777" w:rsidTr="00283244">
        <w:trPr>
          <w:trHeight w:val="1701"/>
        </w:trPr>
        <w:tc>
          <w:tcPr>
            <w:tcW w:w="9628" w:type="dxa"/>
          </w:tcPr>
          <w:p w14:paraId="6268A7D4" w14:textId="77777777" w:rsidR="00283244" w:rsidRDefault="00283244" w:rsidP="00092CE7">
            <w:pPr>
              <w:jc w:val="both"/>
            </w:pPr>
          </w:p>
        </w:tc>
      </w:tr>
    </w:tbl>
    <w:p w14:paraId="481DDEDD" w14:textId="77777777" w:rsidR="00C24FE8" w:rsidRPr="00C24FE8" w:rsidRDefault="00C24FE8" w:rsidP="00C24FE8"/>
    <w:p w14:paraId="2A277B0C" w14:textId="39ECAFB7" w:rsidR="00E51B56" w:rsidRDefault="00574985" w:rsidP="000B20E3">
      <w:pPr>
        <w:pStyle w:val="Paragrafoelenco"/>
        <w:numPr>
          <w:ilvl w:val="0"/>
          <w:numId w:val="5"/>
        </w:numPr>
        <w:jc w:val="both"/>
      </w:pPr>
      <w:r w:rsidRPr="000B20E3">
        <w:rPr>
          <w:b/>
          <w:bCs/>
        </w:rPr>
        <w:t>Risorse Umane</w:t>
      </w:r>
      <w:r>
        <w:t xml:space="preserve"> </w:t>
      </w:r>
      <w:r w:rsidR="00EA57A1">
        <w:t>–</w:t>
      </w:r>
      <w:r>
        <w:t xml:space="preserve"> </w:t>
      </w:r>
      <w:r w:rsidR="00EA57A1">
        <w:t xml:space="preserve">Indicare se la soluzione proposta </w:t>
      </w:r>
      <w:r w:rsidR="00984616">
        <w:t xml:space="preserve">supporta la gestione on-line delle procedure </w:t>
      </w:r>
      <w:r w:rsidR="00186212">
        <w:t>concorsuali interne e per assunzioni</w:t>
      </w:r>
      <w:r w:rsidR="00FC6500">
        <w:t>.</w:t>
      </w:r>
    </w:p>
    <w:tbl>
      <w:tblPr>
        <w:tblStyle w:val="Grigliatabella"/>
        <w:tblW w:w="0" w:type="auto"/>
        <w:tblLook w:val="04A0" w:firstRow="1" w:lastRow="0" w:firstColumn="1" w:lastColumn="0" w:noHBand="0" w:noVBand="1"/>
      </w:tblPr>
      <w:tblGrid>
        <w:gridCol w:w="9628"/>
      </w:tblGrid>
      <w:tr w:rsidR="006E54C5" w14:paraId="704D44DA" w14:textId="77777777" w:rsidTr="006E54C5">
        <w:trPr>
          <w:trHeight w:val="1701"/>
        </w:trPr>
        <w:tc>
          <w:tcPr>
            <w:tcW w:w="9628" w:type="dxa"/>
          </w:tcPr>
          <w:p w14:paraId="57F1BF85" w14:textId="77777777" w:rsidR="006E54C5" w:rsidRDefault="006E54C5" w:rsidP="006E54C5">
            <w:pPr>
              <w:jc w:val="both"/>
            </w:pPr>
          </w:p>
        </w:tc>
      </w:tr>
    </w:tbl>
    <w:p w14:paraId="65FA99FD" w14:textId="77777777" w:rsidR="006E54C5" w:rsidRDefault="006E54C5" w:rsidP="006E54C5">
      <w:pPr>
        <w:jc w:val="both"/>
      </w:pPr>
    </w:p>
    <w:p w14:paraId="7F2A0976" w14:textId="7396B9E5" w:rsidR="00AF3F23" w:rsidRDefault="00AF3F23" w:rsidP="00AF3F23">
      <w:pPr>
        <w:pStyle w:val="Titolo2"/>
      </w:pPr>
      <w:r w:rsidRPr="00AF3F23">
        <w:t>Modalità di licen</w:t>
      </w:r>
      <w:r w:rsidR="00CD5029">
        <w:t>s</w:t>
      </w:r>
      <w:r w:rsidRPr="00AF3F23">
        <w:t>ing e dimensionamento economico</w:t>
      </w:r>
    </w:p>
    <w:p w14:paraId="6C87DDF6" w14:textId="1A8E397F" w:rsidR="00F22F8A" w:rsidRDefault="00B64416" w:rsidP="00E125EA">
      <w:pPr>
        <w:pStyle w:val="Paragrafoelenco"/>
        <w:numPr>
          <w:ilvl w:val="0"/>
          <w:numId w:val="5"/>
        </w:numPr>
      </w:pPr>
      <w:r>
        <w:t>Esporre le m</w:t>
      </w:r>
      <w:r w:rsidR="005A114C">
        <w:t>odali</w:t>
      </w:r>
      <w:r w:rsidR="0003707B">
        <w:t>tà</w:t>
      </w:r>
      <w:r w:rsidR="00F22F8A" w:rsidRPr="00F22F8A">
        <w:t xml:space="preserve"> di </w:t>
      </w:r>
      <w:r w:rsidR="00524A45">
        <w:t>licensing e listino prezzi di riferi</w:t>
      </w:r>
      <w:r w:rsidR="009F5A13">
        <w:t>mento della soluzione applicativa</w:t>
      </w:r>
      <w:r w:rsidR="002578E7">
        <w:t>. Specificare inoltre i servizi inclusi</w:t>
      </w:r>
      <w:r w:rsidR="005D33A2">
        <w:t xml:space="preserve"> </w:t>
      </w:r>
      <w:r w:rsidR="004819B8">
        <w:t>in tali prezzi di riferimento.</w:t>
      </w:r>
    </w:p>
    <w:tbl>
      <w:tblPr>
        <w:tblStyle w:val="Grigliatabella"/>
        <w:tblW w:w="0" w:type="auto"/>
        <w:tblLook w:val="04A0" w:firstRow="1" w:lastRow="0" w:firstColumn="1" w:lastColumn="0" w:noHBand="0" w:noVBand="1"/>
      </w:tblPr>
      <w:tblGrid>
        <w:gridCol w:w="9628"/>
      </w:tblGrid>
      <w:tr w:rsidR="00CF6773" w14:paraId="24EEDEF7" w14:textId="77777777" w:rsidTr="00CF6773">
        <w:trPr>
          <w:trHeight w:val="1701"/>
        </w:trPr>
        <w:tc>
          <w:tcPr>
            <w:tcW w:w="9628" w:type="dxa"/>
          </w:tcPr>
          <w:p w14:paraId="223D4E3B" w14:textId="77777777" w:rsidR="00CF6773" w:rsidRDefault="00CF6773" w:rsidP="00B94181"/>
        </w:tc>
      </w:tr>
    </w:tbl>
    <w:p w14:paraId="3140FC38" w14:textId="77777777" w:rsidR="00B76839" w:rsidRDefault="00B76839" w:rsidP="000E2F24">
      <w:pPr>
        <w:jc w:val="both"/>
      </w:pPr>
    </w:p>
    <w:p w14:paraId="6A699988" w14:textId="77777777" w:rsidR="00875AC5" w:rsidRPr="000035A9" w:rsidRDefault="00875AC5" w:rsidP="000E2F24">
      <w:pPr>
        <w:jc w:val="both"/>
      </w:pPr>
    </w:p>
    <w:sectPr w:rsidR="00875AC5" w:rsidRPr="000035A9">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13764" w14:textId="77777777" w:rsidR="0067695A" w:rsidRDefault="0067695A" w:rsidP="004E26C8">
      <w:pPr>
        <w:spacing w:after="0" w:line="240" w:lineRule="auto"/>
      </w:pPr>
      <w:r>
        <w:separator/>
      </w:r>
    </w:p>
  </w:endnote>
  <w:endnote w:type="continuationSeparator" w:id="0">
    <w:p w14:paraId="6F46C6B4" w14:textId="77777777" w:rsidR="0067695A" w:rsidRDefault="0067695A" w:rsidP="004E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736407"/>
      <w:docPartObj>
        <w:docPartGallery w:val="Page Numbers (Bottom of Page)"/>
        <w:docPartUnique/>
      </w:docPartObj>
    </w:sdtPr>
    <w:sdtEndPr/>
    <w:sdtContent>
      <w:p w14:paraId="0E56077A" w14:textId="77B97B32" w:rsidR="004E26C8" w:rsidRDefault="004E26C8">
        <w:pPr>
          <w:pStyle w:val="Pidipagina"/>
          <w:jc w:val="center"/>
        </w:pPr>
        <w:r>
          <w:fldChar w:fldCharType="begin"/>
        </w:r>
        <w:r>
          <w:instrText>PAGE   \* MERGEFORMAT</w:instrText>
        </w:r>
        <w:r>
          <w:fldChar w:fldCharType="separate"/>
        </w:r>
        <w:r w:rsidR="00B85001">
          <w:rPr>
            <w:noProof/>
          </w:rPr>
          <w:t>12</w:t>
        </w:r>
        <w:r>
          <w:fldChar w:fldCharType="end"/>
        </w:r>
      </w:p>
    </w:sdtContent>
  </w:sdt>
  <w:p w14:paraId="1569812E" w14:textId="77777777" w:rsidR="004E26C8" w:rsidRDefault="004E26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96D71" w14:textId="77777777" w:rsidR="0067695A" w:rsidRDefault="0067695A" w:rsidP="004E26C8">
      <w:pPr>
        <w:spacing w:after="0" w:line="240" w:lineRule="auto"/>
      </w:pPr>
      <w:r>
        <w:separator/>
      </w:r>
    </w:p>
  </w:footnote>
  <w:footnote w:type="continuationSeparator" w:id="0">
    <w:p w14:paraId="68A25AC6" w14:textId="77777777" w:rsidR="0067695A" w:rsidRDefault="0067695A" w:rsidP="004E26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036AE"/>
    <w:multiLevelType w:val="hybridMultilevel"/>
    <w:tmpl w:val="F86279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EE153EF"/>
    <w:multiLevelType w:val="hybridMultilevel"/>
    <w:tmpl w:val="6C64A4B0"/>
    <w:lvl w:ilvl="0" w:tplc="5F2C8B02">
      <w:start w:val="1"/>
      <w:numFmt w:val="bullet"/>
      <w:lvlText w:val="•"/>
      <w:lvlJc w:val="left"/>
      <w:pPr>
        <w:tabs>
          <w:tab w:val="num" w:pos="720"/>
        </w:tabs>
        <w:ind w:left="720" w:hanging="360"/>
      </w:pPr>
      <w:rPr>
        <w:rFonts w:ascii="Arial" w:hAnsi="Arial" w:hint="default"/>
      </w:rPr>
    </w:lvl>
    <w:lvl w:ilvl="1" w:tplc="66C29E8A">
      <w:start w:val="1"/>
      <w:numFmt w:val="bullet"/>
      <w:lvlText w:val="•"/>
      <w:lvlJc w:val="left"/>
      <w:pPr>
        <w:tabs>
          <w:tab w:val="num" w:pos="1440"/>
        </w:tabs>
        <w:ind w:left="1440" w:hanging="360"/>
      </w:pPr>
      <w:rPr>
        <w:rFonts w:ascii="Arial" w:hAnsi="Arial" w:hint="default"/>
      </w:rPr>
    </w:lvl>
    <w:lvl w:ilvl="2" w:tplc="9F6C95EE" w:tentative="1">
      <w:start w:val="1"/>
      <w:numFmt w:val="bullet"/>
      <w:lvlText w:val="•"/>
      <w:lvlJc w:val="left"/>
      <w:pPr>
        <w:tabs>
          <w:tab w:val="num" w:pos="2160"/>
        </w:tabs>
        <w:ind w:left="2160" w:hanging="360"/>
      </w:pPr>
      <w:rPr>
        <w:rFonts w:ascii="Arial" w:hAnsi="Arial" w:hint="default"/>
      </w:rPr>
    </w:lvl>
    <w:lvl w:ilvl="3" w:tplc="4630F6A8" w:tentative="1">
      <w:start w:val="1"/>
      <w:numFmt w:val="bullet"/>
      <w:lvlText w:val="•"/>
      <w:lvlJc w:val="left"/>
      <w:pPr>
        <w:tabs>
          <w:tab w:val="num" w:pos="2880"/>
        </w:tabs>
        <w:ind w:left="2880" w:hanging="360"/>
      </w:pPr>
      <w:rPr>
        <w:rFonts w:ascii="Arial" w:hAnsi="Arial" w:hint="default"/>
      </w:rPr>
    </w:lvl>
    <w:lvl w:ilvl="4" w:tplc="32487302" w:tentative="1">
      <w:start w:val="1"/>
      <w:numFmt w:val="bullet"/>
      <w:lvlText w:val="•"/>
      <w:lvlJc w:val="left"/>
      <w:pPr>
        <w:tabs>
          <w:tab w:val="num" w:pos="3600"/>
        </w:tabs>
        <w:ind w:left="3600" w:hanging="360"/>
      </w:pPr>
      <w:rPr>
        <w:rFonts w:ascii="Arial" w:hAnsi="Arial" w:hint="default"/>
      </w:rPr>
    </w:lvl>
    <w:lvl w:ilvl="5" w:tplc="8DD46346" w:tentative="1">
      <w:start w:val="1"/>
      <w:numFmt w:val="bullet"/>
      <w:lvlText w:val="•"/>
      <w:lvlJc w:val="left"/>
      <w:pPr>
        <w:tabs>
          <w:tab w:val="num" w:pos="4320"/>
        </w:tabs>
        <w:ind w:left="4320" w:hanging="360"/>
      </w:pPr>
      <w:rPr>
        <w:rFonts w:ascii="Arial" w:hAnsi="Arial" w:hint="default"/>
      </w:rPr>
    </w:lvl>
    <w:lvl w:ilvl="6" w:tplc="FFF86976" w:tentative="1">
      <w:start w:val="1"/>
      <w:numFmt w:val="bullet"/>
      <w:lvlText w:val="•"/>
      <w:lvlJc w:val="left"/>
      <w:pPr>
        <w:tabs>
          <w:tab w:val="num" w:pos="5040"/>
        </w:tabs>
        <w:ind w:left="5040" w:hanging="360"/>
      </w:pPr>
      <w:rPr>
        <w:rFonts w:ascii="Arial" w:hAnsi="Arial" w:hint="default"/>
      </w:rPr>
    </w:lvl>
    <w:lvl w:ilvl="7" w:tplc="6638E2AE" w:tentative="1">
      <w:start w:val="1"/>
      <w:numFmt w:val="bullet"/>
      <w:lvlText w:val="•"/>
      <w:lvlJc w:val="left"/>
      <w:pPr>
        <w:tabs>
          <w:tab w:val="num" w:pos="5760"/>
        </w:tabs>
        <w:ind w:left="5760" w:hanging="360"/>
      </w:pPr>
      <w:rPr>
        <w:rFonts w:ascii="Arial" w:hAnsi="Arial" w:hint="default"/>
      </w:rPr>
    </w:lvl>
    <w:lvl w:ilvl="8" w:tplc="E990ED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4E106EE"/>
    <w:multiLevelType w:val="hybridMultilevel"/>
    <w:tmpl w:val="164A89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AA3B9F"/>
    <w:multiLevelType w:val="hybridMultilevel"/>
    <w:tmpl w:val="304AD4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2A0AC1"/>
    <w:multiLevelType w:val="hybridMultilevel"/>
    <w:tmpl w:val="611873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D774E39"/>
    <w:multiLevelType w:val="hybridMultilevel"/>
    <w:tmpl w:val="67D833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8C20F15"/>
    <w:multiLevelType w:val="hybridMultilevel"/>
    <w:tmpl w:val="7FB84BD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2010FC7"/>
    <w:multiLevelType w:val="hybridMultilevel"/>
    <w:tmpl w:val="E39EDF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1"/>
  </w:num>
  <w:num w:numId="5">
    <w:abstractNumId w:val="3"/>
  </w:num>
  <w:num w:numId="6">
    <w:abstractNumId w:val="5"/>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C8"/>
    <w:rsid w:val="0000359B"/>
    <w:rsid w:val="000035A9"/>
    <w:rsid w:val="00004754"/>
    <w:rsid w:val="0001267B"/>
    <w:rsid w:val="00022C97"/>
    <w:rsid w:val="0003707B"/>
    <w:rsid w:val="00041BD0"/>
    <w:rsid w:val="00043CC9"/>
    <w:rsid w:val="0004467F"/>
    <w:rsid w:val="000637CF"/>
    <w:rsid w:val="0007016F"/>
    <w:rsid w:val="00070C50"/>
    <w:rsid w:val="00077E3E"/>
    <w:rsid w:val="000803F8"/>
    <w:rsid w:val="00082FC2"/>
    <w:rsid w:val="000833DA"/>
    <w:rsid w:val="0008571F"/>
    <w:rsid w:val="00087D24"/>
    <w:rsid w:val="00090C6F"/>
    <w:rsid w:val="00092CE7"/>
    <w:rsid w:val="000A3AFB"/>
    <w:rsid w:val="000B20E3"/>
    <w:rsid w:val="000B2A2C"/>
    <w:rsid w:val="000C1C75"/>
    <w:rsid w:val="000C7E42"/>
    <w:rsid w:val="000E051E"/>
    <w:rsid w:val="000E2F24"/>
    <w:rsid w:val="000F348A"/>
    <w:rsid w:val="000F4539"/>
    <w:rsid w:val="00103899"/>
    <w:rsid w:val="00105BA7"/>
    <w:rsid w:val="001072A1"/>
    <w:rsid w:val="001106F9"/>
    <w:rsid w:val="00114D60"/>
    <w:rsid w:val="00115980"/>
    <w:rsid w:val="00116148"/>
    <w:rsid w:val="00120DE8"/>
    <w:rsid w:val="00132DE3"/>
    <w:rsid w:val="00133B78"/>
    <w:rsid w:val="00136123"/>
    <w:rsid w:val="00142AAD"/>
    <w:rsid w:val="001462AC"/>
    <w:rsid w:val="001534B5"/>
    <w:rsid w:val="0015604C"/>
    <w:rsid w:val="00161988"/>
    <w:rsid w:val="00161EC4"/>
    <w:rsid w:val="00170546"/>
    <w:rsid w:val="00182ED9"/>
    <w:rsid w:val="00186212"/>
    <w:rsid w:val="00195257"/>
    <w:rsid w:val="0019617D"/>
    <w:rsid w:val="001A72C3"/>
    <w:rsid w:val="001B3A6C"/>
    <w:rsid w:val="001B51AB"/>
    <w:rsid w:val="001C119F"/>
    <w:rsid w:val="001D3EDA"/>
    <w:rsid w:val="001E303D"/>
    <w:rsid w:val="001E350E"/>
    <w:rsid w:val="001E455B"/>
    <w:rsid w:val="001E46FA"/>
    <w:rsid w:val="001F09D3"/>
    <w:rsid w:val="001F38E3"/>
    <w:rsid w:val="00203D64"/>
    <w:rsid w:val="00212145"/>
    <w:rsid w:val="00214ACB"/>
    <w:rsid w:val="002176C8"/>
    <w:rsid w:val="00217F8B"/>
    <w:rsid w:val="002262FB"/>
    <w:rsid w:val="00227D22"/>
    <w:rsid w:val="002424A7"/>
    <w:rsid w:val="00247989"/>
    <w:rsid w:val="00251B76"/>
    <w:rsid w:val="002567B3"/>
    <w:rsid w:val="002578E7"/>
    <w:rsid w:val="0026024B"/>
    <w:rsid w:val="002651A3"/>
    <w:rsid w:val="00273525"/>
    <w:rsid w:val="00283244"/>
    <w:rsid w:val="002967D9"/>
    <w:rsid w:val="00297F51"/>
    <w:rsid w:val="002A174B"/>
    <w:rsid w:val="002A3975"/>
    <w:rsid w:val="002A705E"/>
    <w:rsid w:val="002B0593"/>
    <w:rsid w:val="002B711C"/>
    <w:rsid w:val="002C4917"/>
    <w:rsid w:val="002E05DC"/>
    <w:rsid w:val="002E2341"/>
    <w:rsid w:val="002E7C78"/>
    <w:rsid w:val="003005D9"/>
    <w:rsid w:val="00310432"/>
    <w:rsid w:val="0031289E"/>
    <w:rsid w:val="00314DDB"/>
    <w:rsid w:val="00315755"/>
    <w:rsid w:val="00325F09"/>
    <w:rsid w:val="00340327"/>
    <w:rsid w:val="003406E4"/>
    <w:rsid w:val="00352166"/>
    <w:rsid w:val="00356D88"/>
    <w:rsid w:val="00363E12"/>
    <w:rsid w:val="003678A4"/>
    <w:rsid w:val="00367C0A"/>
    <w:rsid w:val="00370741"/>
    <w:rsid w:val="00372DD1"/>
    <w:rsid w:val="00376C1E"/>
    <w:rsid w:val="00380727"/>
    <w:rsid w:val="00382AAB"/>
    <w:rsid w:val="00384BF5"/>
    <w:rsid w:val="003873F7"/>
    <w:rsid w:val="00397EC0"/>
    <w:rsid w:val="003A2ABA"/>
    <w:rsid w:val="003A3768"/>
    <w:rsid w:val="003A3C6D"/>
    <w:rsid w:val="003B3F2A"/>
    <w:rsid w:val="003B7EE2"/>
    <w:rsid w:val="003C6BEC"/>
    <w:rsid w:val="003D4F45"/>
    <w:rsid w:val="003E4A70"/>
    <w:rsid w:val="003E4CB9"/>
    <w:rsid w:val="003F0593"/>
    <w:rsid w:val="003F4381"/>
    <w:rsid w:val="003F6F8D"/>
    <w:rsid w:val="00400370"/>
    <w:rsid w:val="004003D2"/>
    <w:rsid w:val="00401C80"/>
    <w:rsid w:val="004052C6"/>
    <w:rsid w:val="00405726"/>
    <w:rsid w:val="00411627"/>
    <w:rsid w:val="00413FC5"/>
    <w:rsid w:val="00421776"/>
    <w:rsid w:val="0043441C"/>
    <w:rsid w:val="00435E8C"/>
    <w:rsid w:val="0043701B"/>
    <w:rsid w:val="00446083"/>
    <w:rsid w:val="004510CE"/>
    <w:rsid w:val="004541F3"/>
    <w:rsid w:val="00456BFA"/>
    <w:rsid w:val="004575BD"/>
    <w:rsid w:val="00461E7C"/>
    <w:rsid w:val="00463DB0"/>
    <w:rsid w:val="0046469F"/>
    <w:rsid w:val="00471251"/>
    <w:rsid w:val="0047255C"/>
    <w:rsid w:val="00473B07"/>
    <w:rsid w:val="00474161"/>
    <w:rsid w:val="004809B7"/>
    <w:rsid w:val="004819B8"/>
    <w:rsid w:val="004859F5"/>
    <w:rsid w:val="00490195"/>
    <w:rsid w:val="004914CD"/>
    <w:rsid w:val="0049173D"/>
    <w:rsid w:val="00495EE7"/>
    <w:rsid w:val="004A0F21"/>
    <w:rsid w:val="004A417B"/>
    <w:rsid w:val="004A6265"/>
    <w:rsid w:val="004B5C9B"/>
    <w:rsid w:val="004C029D"/>
    <w:rsid w:val="004D21FB"/>
    <w:rsid w:val="004E26C8"/>
    <w:rsid w:val="004E4FD7"/>
    <w:rsid w:val="005037B4"/>
    <w:rsid w:val="005110CE"/>
    <w:rsid w:val="0051492D"/>
    <w:rsid w:val="00514AAC"/>
    <w:rsid w:val="00517F27"/>
    <w:rsid w:val="00524A45"/>
    <w:rsid w:val="00530328"/>
    <w:rsid w:val="00532617"/>
    <w:rsid w:val="00537E3C"/>
    <w:rsid w:val="00540473"/>
    <w:rsid w:val="00542C37"/>
    <w:rsid w:val="00550270"/>
    <w:rsid w:val="00554581"/>
    <w:rsid w:val="00567A4D"/>
    <w:rsid w:val="00570B6A"/>
    <w:rsid w:val="00574985"/>
    <w:rsid w:val="00580C69"/>
    <w:rsid w:val="00580F96"/>
    <w:rsid w:val="00590586"/>
    <w:rsid w:val="00591727"/>
    <w:rsid w:val="00592F4A"/>
    <w:rsid w:val="005959D8"/>
    <w:rsid w:val="005A0726"/>
    <w:rsid w:val="005A114C"/>
    <w:rsid w:val="005A7978"/>
    <w:rsid w:val="005B30F7"/>
    <w:rsid w:val="005B3931"/>
    <w:rsid w:val="005D1DDD"/>
    <w:rsid w:val="005D33A2"/>
    <w:rsid w:val="005D3730"/>
    <w:rsid w:val="005E3BCF"/>
    <w:rsid w:val="005F06AC"/>
    <w:rsid w:val="005F1C7F"/>
    <w:rsid w:val="00601F30"/>
    <w:rsid w:val="0060279F"/>
    <w:rsid w:val="00604F80"/>
    <w:rsid w:val="00605AF0"/>
    <w:rsid w:val="0060786D"/>
    <w:rsid w:val="006137A7"/>
    <w:rsid w:val="006213B5"/>
    <w:rsid w:val="006221E4"/>
    <w:rsid w:val="00630D69"/>
    <w:rsid w:val="00632097"/>
    <w:rsid w:val="00641762"/>
    <w:rsid w:val="00642A18"/>
    <w:rsid w:val="00647BED"/>
    <w:rsid w:val="00655C20"/>
    <w:rsid w:val="00664E10"/>
    <w:rsid w:val="006666DB"/>
    <w:rsid w:val="006670C7"/>
    <w:rsid w:val="0067695A"/>
    <w:rsid w:val="00682CC5"/>
    <w:rsid w:val="00683DBE"/>
    <w:rsid w:val="00692B5A"/>
    <w:rsid w:val="006955F3"/>
    <w:rsid w:val="006A22D7"/>
    <w:rsid w:val="006A556B"/>
    <w:rsid w:val="006B3072"/>
    <w:rsid w:val="006B6BB4"/>
    <w:rsid w:val="006C6061"/>
    <w:rsid w:val="006C7E53"/>
    <w:rsid w:val="006E54C5"/>
    <w:rsid w:val="006F2E68"/>
    <w:rsid w:val="006F5228"/>
    <w:rsid w:val="006F7701"/>
    <w:rsid w:val="00706E88"/>
    <w:rsid w:val="00707F3F"/>
    <w:rsid w:val="0071175D"/>
    <w:rsid w:val="00727FC8"/>
    <w:rsid w:val="0073142B"/>
    <w:rsid w:val="007363B6"/>
    <w:rsid w:val="00737EB8"/>
    <w:rsid w:val="00741067"/>
    <w:rsid w:val="00755466"/>
    <w:rsid w:val="00755EAC"/>
    <w:rsid w:val="007607E9"/>
    <w:rsid w:val="00761092"/>
    <w:rsid w:val="007702A7"/>
    <w:rsid w:val="00772842"/>
    <w:rsid w:val="00774B9F"/>
    <w:rsid w:val="007828B8"/>
    <w:rsid w:val="00785E52"/>
    <w:rsid w:val="00790104"/>
    <w:rsid w:val="00790F95"/>
    <w:rsid w:val="00797AED"/>
    <w:rsid w:val="007A4758"/>
    <w:rsid w:val="007B4EE7"/>
    <w:rsid w:val="007B5E38"/>
    <w:rsid w:val="007D5F02"/>
    <w:rsid w:val="007E2C60"/>
    <w:rsid w:val="007E5910"/>
    <w:rsid w:val="007E6ED8"/>
    <w:rsid w:val="007F3DCC"/>
    <w:rsid w:val="007F4AE2"/>
    <w:rsid w:val="007F6F13"/>
    <w:rsid w:val="007F7058"/>
    <w:rsid w:val="007F7C93"/>
    <w:rsid w:val="0080020F"/>
    <w:rsid w:val="008045CD"/>
    <w:rsid w:val="00810ACC"/>
    <w:rsid w:val="00814062"/>
    <w:rsid w:val="00821599"/>
    <w:rsid w:val="008358D5"/>
    <w:rsid w:val="008454FA"/>
    <w:rsid w:val="0084613C"/>
    <w:rsid w:val="0084728C"/>
    <w:rsid w:val="00853437"/>
    <w:rsid w:val="008558CB"/>
    <w:rsid w:val="00871722"/>
    <w:rsid w:val="00875AC5"/>
    <w:rsid w:val="00876451"/>
    <w:rsid w:val="00884640"/>
    <w:rsid w:val="00885BA5"/>
    <w:rsid w:val="00891C7E"/>
    <w:rsid w:val="00892A74"/>
    <w:rsid w:val="00894F40"/>
    <w:rsid w:val="008957CF"/>
    <w:rsid w:val="008979D9"/>
    <w:rsid w:val="008A24E1"/>
    <w:rsid w:val="008A37AC"/>
    <w:rsid w:val="008B09EA"/>
    <w:rsid w:val="008B0F0D"/>
    <w:rsid w:val="008B7873"/>
    <w:rsid w:val="008D04F6"/>
    <w:rsid w:val="008D17AA"/>
    <w:rsid w:val="008E3C28"/>
    <w:rsid w:val="008E5AB3"/>
    <w:rsid w:val="008F4227"/>
    <w:rsid w:val="008F577F"/>
    <w:rsid w:val="009035A4"/>
    <w:rsid w:val="009135A4"/>
    <w:rsid w:val="0091510D"/>
    <w:rsid w:val="0092389D"/>
    <w:rsid w:val="00944CE2"/>
    <w:rsid w:val="0094733F"/>
    <w:rsid w:val="0095219F"/>
    <w:rsid w:val="00956DDE"/>
    <w:rsid w:val="00957E8D"/>
    <w:rsid w:val="00960E67"/>
    <w:rsid w:val="0096105A"/>
    <w:rsid w:val="00965D36"/>
    <w:rsid w:val="009753F7"/>
    <w:rsid w:val="009776D1"/>
    <w:rsid w:val="00977F96"/>
    <w:rsid w:val="009802CE"/>
    <w:rsid w:val="00982BB8"/>
    <w:rsid w:val="009840DD"/>
    <w:rsid w:val="00984616"/>
    <w:rsid w:val="009869FA"/>
    <w:rsid w:val="009A2120"/>
    <w:rsid w:val="009A47A9"/>
    <w:rsid w:val="009A63F9"/>
    <w:rsid w:val="009B1776"/>
    <w:rsid w:val="009B4B1F"/>
    <w:rsid w:val="009B535B"/>
    <w:rsid w:val="009B6B78"/>
    <w:rsid w:val="009D08D2"/>
    <w:rsid w:val="009D2011"/>
    <w:rsid w:val="009E613C"/>
    <w:rsid w:val="009E75E5"/>
    <w:rsid w:val="009F5A13"/>
    <w:rsid w:val="00A0040C"/>
    <w:rsid w:val="00A0148F"/>
    <w:rsid w:val="00A023CE"/>
    <w:rsid w:val="00A05356"/>
    <w:rsid w:val="00A060D1"/>
    <w:rsid w:val="00A2080A"/>
    <w:rsid w:val="00A2138E"/>
    <w:rsid w:val="00A22445"/>
    <w:rsid w:val="00A23176"/>
    <w:rsid w:val="00A23A6F"/>
    <w:rsid w:val="00A24FC2"/>
    <w:rsid w:val="00A41917"/>
    <w:rsid w:val="00A466B4"/>
    <w:rsid w:val="00A47179"/>
    <w:rsid w:val="00A60254"/>
    <w:rsid w:val="00A622ED"/>
    <w:rsid w:val="00A67C82"/>
    <w:rsid w:val="00A70A69"/>
    <w:rsid w:val="00A809B3"/>
    <w:rsid w:val="00A82ECE"/>
    <w:rsid w:val="00AA0801"/>
    <w:rsid w:val="00AA6812"/>
    <w:rsid w:val="00AC1D50"/>
    <w:rsid w:val="00AC32F1"/>
    <w:rsid w:val="00AC355C"/>
    <w:rsid w:val="00AE4C65"/>
    <w:rsid w:val="00AF012A"/>
    <w:rsid w:val="00AF3F23"/>
    <w:rsid w:val="00AF539F"/>
    <w:rsid w:val="00AF5D37"/>
    <w:rsid w:val="00AF711C"/>
    <w:rsid w:val="00B00427"/>
    <w:rsid w:val="00B12358"/>
    <w:rsid w:val="00B14E22"/>
    <w:rsid w:val="00B16FBA"/>
    <w:rsid w:val="00B20141"/>
    <w:rsid w:val="00B21E62"/>
    <w:rsid w:val="00B23E47"/>
    <w:rsid w:val="00B32455"/>
    <w:rsid w:val="00B33E43"/>
    <w:rsid w:val="00B42EE1"/>
    <w:rsid w:val="00B51145"/>
    <w:rsid w:val="00B64416"/>
    <w:rsid w:val="00B65BB2"/>
    <w:rsid w:val="00B76839"/>
    <w:rsid w:val="00B82841"/>
    <w:rsid w:val="00B843E1"/>
    <w:rsid w:val="00B85001"/>
    <w:rsid w:val="00B9350B"/>
    <w:rsid w:val="00B94181"/>
    <w:rsid w:val="00B948C9"/>
    <w:rsid w:val="00B95892"/>
    <w:rsid w:val="00B97C28"/>
    <w:rsid w:val="00BA6246"/>
    <w:rsid w:val="00BB1FE9"/>
    <w:rsid w:val="00BD2003"/>
    <w:rsid w:val="00BD2707"/>
    <w:rsid w:val="00BD5642"/>
    <w:rsid w:val="00BD7FE5"/>
    <w:rsid w:val="00BE23BF"/>
    <w:rsid w:val="00BE4057"/>
    <w:rsid w:val="00BE7ED1"/>
    <w:rsid w:val="00BF691C"/>
    <w:rsid w:val="00C123A5"/>
    <w:rsid w:val="00C17067"/>
    <w:rsid w:val="00C24FE8"/>
    <w:rsid w:val="00C30D2B"/>
    <w:rsid w:val="00C33FB5"/>
    <w:rsid w:val="00C37E45"/>
    <w:rsid w:val="00C43CBC"/>
    <w:rsid w:val="00C441AD"/>
    <w:rsid w:val="00C571FC"/>
    <w:rsid w:val="00C65AD0"/>
    <w:rsid w:val="00C67AD6"/>
    <w:rsid w:val="00C81AFA"/>
    <w:rsid w:val="00C823A9"/>
    <w:rsid w:val="00C96982"/>
    <w:rsid w:val="00CA7D12"/>
    <w:rsid w:val="00CC21CF"/>
    <w:rsid w:val="00CC2AD3"/>
    <w:rsid w:val="00CC2B13"/>
    <w:rsid w:val="00CC3097"/>
    <w:rsid w:val="00CC3341"/>
    <w:rsid w:val="00CC495F"/>
    <w:rsid w:val="00CD1B0B"/>
    <w:rsid w:val="00CD5029"/>
    <w:rsid w:val="00CD7FA8"/>
    <w:rsid w:val="00CE1621"/>
    <w:rsid w:val="00CE23D0"/>
    <w:rsid w:val="00CE51CF"/>
    <w:rsid w:val="00CE7A74"/>
    <w:rsid w:val="00CF6773"/>
    <w:rsid w:val="00CF7DA0"/>
    <w:rsid w:val="00D1595E"/>
    <w:rsid w:val="00D17436"/>
    <w:rsid w:val="00D217B2"/>
    <w:rsid w:val="00D26DD8"/>
    <w:rsid w:val="00D33388"/>
    <w:rsid w:val="00D414BA"/>
    <w:rsid w:val="00D513F0"/>
    <w:rsid w:val="00D54230"/>
    <w:rsid w:val="00D55500"/>
    <w:rsid w:val="00D55871"/>
    <w:rsid w:val="00D56833"/>
    <w:rsid w:val="00D57389"/>
    <w:rsid w:val="00D5769B"/>
    <w:rsid w:val="00D74604"/>
    <w:rsid w:val="00D74641"/>
    <w:rsid w:val="00D8243A"/>
    <w:rsid w:val="00D8666A"/>
    <w:rsid w:val="00D9232B"/>
    <w:rsid w:val="00D92B71"/>
    <w:rsid w:val="00D930C1"/>
    <w:rsid w:val="00DA1E48"/>
    <w:rsid w:val="00DA3D59"/>
    <w:rsid w:val="00DA7A31"/>
    <w:rsid w:val="00DA7E2C"/>
    <w:rsid w:val="00DB02FB"/>
    <w:rsid w:val="00DB1D12"/>
    <w:rsid w:val="00DB2903"/>
    <w:rsid w:val="00DB35A5"/>
    <w:rsid w:val="00DB5CF0"/>
    <w:rsid w:val="00DC7B94"/>
    <w:rsid w:val="00DC7D96"/>
    <w:rsid w:val="00DD410F"/>
    <w:rsid w:val="00DE1879"/>
    <w:rsid w:val="00DE5EEB"/>
    <w:rsid w:val="00DF519D"/>
    <w:rsid w:val="00DF5887"/>
    <w:rsid w:val="00DF7F24"/>
    <w:rsid w:val="00E125EA"/>
    <w:rsid w:val="00E219EF"/>
    <w:rsid w:val="00E26D4B"/>
    <w:rsid w:val="00E34216"/>
    <w:rsid w:val="00E34FFD"/>
    <w:rsid w:val="00E35893"/>
    <w:rsid w:val="00E41A9D"/>
    <w:rsid w:val="00E43BE1"/>
    <w:rsid w:val="00E461FF"/>
    <w:rsid w:val="00E47EF8"/>
    <w:rsid w:val="00E51B56"/>
    <w:rsid w:val="00E54B35"/>
    <w:rsid w:val="00E57AFA"/>
    <w:rsid w:val="00E6623C"/>
    <w:rsid w:val="00E737E9"/>
    <w:rsid w:val="00E7468D"/>
    <w:rsid w:val="00E80AA0"/>
    <w:rsid w:val="00E81272"/>
    <w:rsid w:val="00E82A37"/>
    <w:rsid w:val="00E83307"/>
    <w:rsid w:val="00E84211"/>
    <w:rsid w:val="00E84656"/>
    <w:rsid w:val="00E87D13"/>
    <w:rsid w:val="00E905DB"/>
    <w:rsid w:val="00E97025"/>
    <w:rsid w:val="00E9789B"/>
    <w:rsid w:val="00EA0428"/>
    <w:rsid w:val="00EA3071"/>
    <w:rsid w:val="00EA57A1"/>
    <w:rsid w:val="00EC1A6F"/>
    <w:rsid w:val="00EC2455"/>
    <w:rsid w:val="00EC41D9"/>
    <w:rsid w:val="00EC7172"/>
    <w:rsid w:val="00ED4E0B"/>
    <w:rsid w:val="00EE7219"/>
    <w:rsid w:val="00EF1670"/>
    <w:rsid w:val="00EF479F"/>
    <w:rsid w:val="00EF5305"/>
    <w:rsid w:val="00EF5E94"/>
    <w:rsid w:val="00F01A5E"/>
    <w:rsid w:val="00F1132A"/>
    <w:rsid w:val="00F22F8A"/>
    <w:rsid w:val="00F240FC"/>
    <w:rsid w:val="00F27724"/>
    <w:rsid w:val="00F36C99"/>
    <w:rsid w:val="00F41EC4"/>
    <w:rsid w:val="00F448CA"/>
    <w:rsid w:val="00F53FCE"/>
    <w:rsid w:val="00F60509"/>
    <w:rsid w:val="00F612D4"/>
    <w:rsid w:val="00F6322C"/>
    <w:rsid w:val="00F66A78"/>
    <w:rsid w:val="00F6798F"/>
    <w:rsid w:val="00F721FA"/>
    <w:rsid w:val="00F74B58"/>
    <w:rsid w:val="00F74FD6"/>
    <w:rsid w:val="00F81962"/>
    <w:rsid w:val="00F95F73"/>
    <w:rsid w:val="00FA0B68"/>
    <w:rsid w:val="00FA6E86"/>
    <w:rsid w:val="00FB421C"/>
    <w:rsid w:val="00FB63B4"/>
    <w:rsid w:val="00FC1861"/>
    <w:rsid w:val="00FC1ED1"/>
    <w:rsid w:val="00FC6500"/>
    <w:rsid w:val="00FF01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85691"/>
  <w15:chartTrackingRefBased/>
  <w15:docId w15:val="{E6080818-56AB-40A1-9CD9-CB3CC290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0035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9A63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E26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26C8"/>
  </w:style>
  <w:style w:type="paragraph" w:styleId="Pidipagina">
    <w:name w:val="footer"/>
    <w:basedOn w:val="Normale"/>
    <w:link w:val="PidipaginaCarattere"/>
    <w:uiPriority w:val="99"/>
    <w:unhideWhenUsed/>
    <w:rsid w:val="004E26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26C8"/>
  </w:style>
  <w:style w:type="character" w:customStyle="1" w:styleId="Titolo1Carattere">
    <w:name w:val="Titolo 1 Carattere"/>
    <w:basedOn w:val="Carpredefinitoparagrafo"/>
    <w:link w:val="Titolo1"/>
    <w:uiPriority w:val="9"/>
    <w:rsid w:val="000035A9"/>
    <w:rPr>
      <w:rFonts w:asciiTheme="majorHAnsi" w:eastAsiaTheme="majorEastAsia" w:hAnsiTheme="majorHAnsi" w:cstheme="majorBidi"/>
      <w:color w:val="2F5496" w:themeColor="accent1" w:themeShade="BF"/>
      <w:sz w:val="32"/>
      <w:szCs w:val="32"/>
    </w:rPr>
  </w:style>
  <w:style w:type="paragraph" w:customStyle="1" w:styleId="BodyText21">
    <w:name w:val="Body Text 21"/>
    <w:basedOn w:val="Normale"/>
    <w:rsid w:val="00894F40"/>
    <w:pPr>
      <w:spacing w:after="0" w:line="240" w:lineRule="auto"/>
      <w:jc w:val="both"/>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94F40"/>
    <w:pPr>
      <w:ind w:left="720"/>
      <w:contextualSpacing/>
    </w:pPr>
  </w:style>
  <w:style w:type="table" w:styleId="Grigliatabella">
    <w:name w:val="Table Grid"/>
    <w:basedOn w:val="Tabellanormale"/>
    <w:uiPriority w:val="39"/>
    <w:rsid w:val="00473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nhideWhenUsed/>
    <w:rsid w:val="00692B5A"/>
    <w:rPr>
      <w:color w:val="0000FF"/>
      <w:u w:val="single"/>
    </w:rPr>
  </w:style>
  <w:style w:type="character" w:customStyle="1" w:styleId="Titolo2Carattere">
    <w:name w:val="Titolo 2 Carattere"/>
    <w:basedOn w:val="Carpredefinitoparagrafo"/>
    <w:link w:val="Titolo2"/>
    <w:uiPriority w:val="9"/>
    <w:rsid w:val="009A63F9"/>
    <w:rPr>
      <w:rFonts w:asciiTheme="majorHAnsi" w:eastAsiaTheme="majorEastAsia" w:hAnsiTheme="majorHAnsi" w:cstheme="majorBidi"/>
      <w:color w:val="2F5496" w:themeColor="accent1" w:themeShade="BF"/>
      <w:sz w:val="26"/>
      <w:szCs w:val="26"/>
    </w:rPr>
  </w:style>
  <w:style w:type="character" w:customStyle="1" w:styleId="fontstyle01">
    <w:name w:val="fontstyle01"/>
    <w:basedOn w:val="Carpredefinitoparagrafo"/>
    <w:rsid w:val="001E455B"/>
    <w:rPr>
      <w:rFonts w:ascii="Times-Roman" w:hAnsi="Times-Roman" w:hint="default"/>
      <w:b w:val="0"/>
      <w:bCs w:val="0"/>
      <w:i w:val="0"/>
      <w:iCs w:val="0"/>
      <w:color w:val="000000"/>
      <w:sz w:val="24"/>
      <w:szCs w:val="24"/>
    </w:rPr>
  </w:style>
  <w:style w:type="paragraph" w:styleId="NormaleWeb">
    <w:name w:val="Normal (Web)"/>
    <w:basedOn w:val="Normale"/>
    <w:uiPriority w:val="99"/>
    <w:semiHidden/>
    <w:unhideWhenUsed/>
    <w:rsid w:val="00132DE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UnresolvedMention">
    <w:name w:val="Unresolved Mention"/>
    <w:basedOn w:val="Carpredefinitoparagrafo"/>
    <w:uiPriority w:val="99"/>
    <w:semiHidden/>
    <w:unhideWhenUsed/>
    <w:rsid w:val="0060279F"/>
    <w:rPr>
      <w:color w:val="605E5C"/>
      <w:shd w:val="clear" w:color="auto" w:fill="E1DFDD"/>
    </w:rPr>
  </w:style>
  <w:style w:type="paragraph" w:styleId="Testofumetto">
    <w:name w:val="Balloon Text"/>
    <w:basedOn w:val="Normale"/>
    <w:link w:val="TestofumettoCarattere"/>
    <w:uiPriority w:val="99"/>
    <w:semiHidden/>
    <w:unhideWhenUsed/>
    <w:rsid w:val="0060279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027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5693">
      <w:bodyDiv w:val="1"/>
      <w:marLeft w:val="0"/>
      <w:marRight w:val="0"/>
      <w:marTop w:val="0"/>
      <w:marBottom w:val="0"/>
      <w:divBdr>
        <w:top w:val="none" w:sz="0" w:space="0" w:color="auto"/>
        <w:left w:val="none" w:sz="0" w:space="0" w:color="auto"/>
        <w:bottom w:val="none" w:sz="0" w:space="0" w:color="auto"/>
        <w:right w:val="none" w:sz="0" w:space="0" w:color="auto"/>
      </w:divBdr>
    </w:div>
    <w:div w:id="153960289">
      <w:bodyDiv w:val="1"/>
      <w:marLeft w:val="0"/>
      <w:marRight w:val="0"/>
      <w:marTop w:val="0"/>
      <w:marBottom w:val="0"/>
      <w:divBdr>
        <w:top w:val="none" w:sz="0" w:space="0" w:color="auto"/>
        <w:left w:val="none" w:sz="0" w:space="0" w:color="auto"/>
        <w:bottom w:val="none" w:sz="0" w:space="0" w:color="auto"/>
        <w:right w:val="none" w:sz="0" w:space="0" w:color="auto"/>
      </w:divBdr>
    </w:div>
    <w:div w:id="221792597">
      <w:bodyDiv w:val="1"/>
      <w:marLeft w:val="0"/>
      <w:marRight w:val="0"/>
      <w:marTop w:val="0"/>
      <w:marBottom w:val="0"/>
      <w:divBdr>
        <w:top w:val="none" w:sz="0" w:space="0" w:color="auto"/>
        <w:left w:val="none" w:sz="0" w:space="0" w:color="auto"/>
        <w:bottom w:val="none" w:sz="0" w:space="0" w:color="auto"/>
        <w:right w:val="none" w:sz="0" w:space="0" w:color="auto"/>
      </w:divBdr>
    </w:div>
    <w:div w:id="226763828">
      <w:bodyDiv w:val="1"/>
      <w:marLeft w:val="0"/>
      <w:marRight w:val="0"/>
      <w:marTop w:val="0"/>
      <w:marBottom w:val="0"/>
      <w:divBdr>
        <w:top w:val="none" w:sz="0" w:space="0" w:color="auto"/>
        <w:left w:val="none" w:sz="0" w:space="0" w:color="auto"/>
        <w:bottom w:val="none" w:sz="0" w:space="0" w:color="auto"/>
        <w:right w:val="none" w:sz="0" w:space="0" w:color="auto"/>
      </w:divBdr>
    </w:div>
    <w:div w:id="262153387">
      <w:bodyDiv w:val="1"/>
      <w:marLeft w:val="0"/>
      <w:marRight w:val="0"/>
      <w:marTop w:val="0"/>
      <w:marBottom w:val="0"/>
      <w:divBdr>
        <w:top w:val="none" w:sz="0" w:space="0" w:color="auto"/>
        <w:left w:val="none" w:sz="0" w:space="0" w:color="auto"/>
        <w:bottom w:val="none" w:sz="0" w:space="0" w:color="auto"/>
        <w:right w:val="none" w:sz="0" w:space="0" w:color="auto"/>
      </w:divBdr>
    </w:div>
    <w:div w:id="422646028">
      <w:bodyDiv w:val="1"/>
      <w:marLeft w:val="0"/>
      <w:marRight w:val="0"/>
      <w:marTop w:val="0"/>
      <w:marBottom w:val="0"/>
      <w:divBdr>
        <w:top w:val="none" w:sz="0" w:space="0" w:color="auto"/>
        <w:left w:val="none" w:sz="0" w:space="0" w:color="auto"/>
        <w:bottom w:val="none" w:sz="0" w:space="0" w:color="auto"/>
        <w:right w:val="none" w:sz="0" w:space="0" w:color="auto"/>
      </w:divBdr>
    </w:div>
    <w:div w:id="525407134">
      <w:bodyDiv w:val="1"/>
      <w:marLeft w:val="0"/>
      <w:marRight w:val="0"/>
      <w:marTop w:val="0"/>
      <w:marBottom w:val="0"/>
      <w:divBdr>
        <w:top w:val="none" w:sz="0" w:space="0" w:color="auto"/>
        <w:left w:val="none" w:sz="0" w:space="0" w:color="auto"/>
        <w:bottom w:val="none" w:sz="0" w:space="0" w:color="auto"/>
        <w:right w:val="none" w:sz="0" w:space="0" w:color="auto"/>
      </w:divBdr>
    </w:div>
    <w:div w:id="536158743">
      <w:bodyDiv w:val="1"/>
      <w:marLeft w:val="0"/>
      <w:marRight w:val="0"/>
      <w:marTop w:val="0"/>
      <w:marBottom w:val="0"/>
      <w:divBdr>
        <w:top w:val="none" w:sz="0" w:space="0" w:color="auto"/>
        <w:left w:val="none" w:sz="0" w:space="0" w:color="auto"/>
        <w:bottom w:val="none" w:sz="0" w:space="0" w:color="auto"/>
        <w:right w:val="none" w:sz="0" w:space="0" w:color="auto"/>
      </w:divBdr>
    </w:div>
    <w:div w:id="591667520">
      <w:bodyDiv w:val="1"/>
      <w:marLeft w:val="0"/>
      <w:marRight w:val="0"/>
      <w:marTop w:val="0"/>
      <w:marBottom w:val="0"/>
      <w:divBdr>
        <w:top w:val="none" w:sz="0" w:space="0" w:color="auto"/>
        <w:left w:val="none" w:sz="0" w:space="0" w:color="auto"/>
        <w:bottom w:val="none" w:sz="0" w:space="0" w:color="auto"/>
        <w:right w:val="none" w:sz="0" w:space="0" w:color="auto"/>
      </w:divBdr>
    </w:div>
    <w:div w:id="607128190">
      <w:bodyDiv w:val="1"/>
      <w:marLeft w:val="0"/>
      <w:marRight w:val="0"/>
      <w:marTop w:val="0"/>
      <w:marBottom w:val="0"/>
      <w:divBdr>
        <w:top w:val="none" w:sz="0" w:space="0" w:color="auto"/>
        <w:left w:val="none" w:sz="0" w:space="0" w:color="auto"/>
        <w:bottom w:val="none" w:sz="0" w:space="0" w:color="auto"/>
        <w:right w:val="none" w:sz="0" w:space="0" w:color="auto"/>
      </w:divBdr>
    </w:div>
    <w:div w:id="635109903">
      <w:bodyDiv w:val="1"/>
      <w:marLeft w:val="0"/>
      <w:marRight w:val="0"/>
      <w:marTop w:val="0"/>
      <w:marBottom w:val="0"/>
      <w:divBdr>
        <w:top w:val="none" w:sz="0" w:space="0" w:color="auto"/>
        <w:left w:val="none" w:sz="0" w:space="0" w:color="auto"/>
        <w:bottom w:val="none" w:sz="0" w:space="0" w:color="auto"/>
        <w:right w:val="none" w:sz="0" w:space="0" w:color="auto"/>
      </w:divBdr>
    </w:div>
    <w:div w:id="715356175">
      <w:bodyDiv w:val="1"/>
      <w:marLeft w:val="0"/>
      <w:marRight w:val="0"/>
      <w:marTop w:val="0"/>
      <w:marBottom w:val="0"/>
      <w:divBdr>
        <w:top w:val="none" w:sz="0" w:space="0" w:color="auto"/>
        <w:left w:val="none" w:sz="0" w:space="0" w:color="auto"/>
        <w:bottom w:val="none" w:sz="0" w:space="0" w:color="auto"/>
        <w:right w:val="none" w:sz="0" w:space="0" w:color="auto"/>
      </w:divBdr>
    </w:div>
    <w:div w:id="751009611">
      <w:bodyDiv w:val="1"/>
      <w:marLeft w:val="0"/>
      <w:marRight w:val="0"/>
      <w:marTop w:val="0"/>
      <w:marBottom w:val="0"/>
      <w:divBdr>
        <w:top w:val="none" w:sz="0" w:space="0" w:color="auto"/>
        <w:left w:val="none" w:sz="0" w:space="0" w:color="auto"/>
        <w:bottom w:val="none" w:sz="0" w:space="0" w:color="auto"/>
        <w:right w:val="none" w:sz="0" w:space="0" w:color="auto"/>
      </w:divBdr>
    </w:div>
    <w:div w:id="898126218">
      <w:bodyDiv w:val="1"/>
      <w:marLeft w:val="0"/>
      <w:marRight w:val="0"/>
      <w:marTop w:val="0"/>
      <w:marBottom w:val="0"/>
      <w:divBdr>
        <w:top w:val="none" w:sz="0" w:space="0" w:color="auto"/>
        <w:left w:val="none" w:sz="0" w:space="0" w:color="auto"/>
        <w:bottom w:val="none" w:sz="0" w:space="0" w:color="auto"/>
        <w:right w:val="none" w:sz="0" w:space="0" w:color="auto"/>
      </w:divBdr>
    </w:div>
    <w:div w:id="1048410362">
      <w:bodyDiv w:val="1"/>
      <w:marLeft w:val="0"/>
      <w:marRight w:val="0"/>
      <w:marTop w:val="0"/>
      <w:marBottom w:val="0"/>
      <w:divBdr>
        <w:top w:val="none" w:sz="0" w:space="0" w:color="auto"/>
        <w:left w:val="none" w:sz="0" w:space="0" w:color="auto"/>
        <w:bottom w:val="none" w:sz="0" w:space="0" w:color="auto"/>
        <w:right w:val="none" w:sz="0" w:space="0" w:color="auto"/>
      </w:divBdr>
    </w:div>
    <w:div w:id="1093552090">
      <w:bodyDiv w:val="1"/>
      <w:marLeft w:val="0"/>
      <w:marRight w:val="0"/>
      <w:marTop w:val="0"/>
      <w:marBottom w:val="0"/>
      <w:divBdr>
        <w:top w:val="none" w:sz="0" w:space="0" w:color="auto"/>
        <w:left w:val="none" w:sz="0" w:space="0" w:color="auto"/>
        <w:bottom w:val="none" w:sz="0" w:space="0" w:color="auto"/>
        <w:right w:val="none" w:sz="0" w:space="0" w:color="auto"/>
      </w:divBdr>
    </w:div>
    <w:div w:id="1259561866">
      <w:bodyDiv w:val="1"/>
      <w:marLeft w:val="0"/>
      <w:marRight w:val="0"/>
      <w:marTop w:val="0"/>
      <w:marBottom w:val="0"/>
      <w:divBdr>
        <w:top w:val="none" w:sz="0" w:space="0" w:color="auto"/>
        <w:left w:val="none" w:sz="0" w:space="0" w:color="auto"/>
        <w:bottom w:val="none" w:sz="0" w:space="0" w:color="auto"/>
        <w:right w:val="none" w:sz="0" w:space="0" w:color="auto"/>
      </w:divBdr>
    </w:div>
    <w:div w:id="1305965828">
      <w:bodyDiv w:val="1"/>
      <w:marLeft w:val="0"/>
      <w:marRight w:val="0"/>
      <w:marTop w:val="0"/>
      <w:marBottom w:val="0"/>
      <w:divBdr>
        <w:top w:val="none" w:sz="0" w:space="0" w:color="auto"/>
        <w:left w:val="none" w:sz="0" w:space="0" w:color="auto"/>
        <w:bottom w:val="none" w:sz="0" w:space="0" w:color="auto"/>
        <w:right w:val="none" w:sz="0" w:space="0" w:color="auto"/>
      </w:divBdr>
    </w:div>
    <w:div w:id="1312172470">
      <w:bodyDiv w:val="1"/>
      <w:marLeft w:val="0"/>
      <w:marRight w:val="0"/>
      <w:marTop w:val="0"/>
      <w:marBottom w:val="0"/>
      <w:divBdr>
        <w:top w:val="none" w:sz="0" w:space="0" w:color="auto"/>
        <w:left w:val="none" w:sz="0" w:space="0" w:color="auto"/>
        <w:bottom w:val="none" w:sz="0" w:space="0" w:color="auto"/>
        <w:right w:val="none" w:sz="0" w:space="0" w:color="auto"/>
      </w:divBdr>
    </w:div>
    <w:div w:id="1411921760">
      <w:bodyDiv w:val="1"/>
      <w:marLeft w:val="0"/>
      <w:marRight w:val="0"/>
      <w:marTop w:val="0"/>
      <w:marBottom w:val="0"/>
      <w:divBdr>
        <w:top w:val="none" w:sz="0" w:space="0" w:color="auto"/>
        <w:left w:val="none" w:sz="0" w:space="0" w:color="auto"/>
        <w:bottom w:val="none" w:sz="0" w:space="0" w:color="auto"/>
        <w:right w:val="none" w:sz="0" w:space="0" w:color="auto"/>
      </w:divBdr>
    </w:div>
    <w:div w:id="1645350599">
      <w:bodyDiv w:val="1"/>
      <w:marLeft w:val="0"/>
      <w:marRight w:val="0"/>
      <w:marTop w:val="0"/>
      <w:marBottom w:val="0"/>
      <w:divBdr>
        <w:top w:val="none" w:sz="0" w:space="0" w:color="auto"/>
        <w:left w:val="none" w:sz="0" w:space="0" w:color="auto"/>
        <w:bottom w:val="none" w:sz="0" w:space="0" w:color="auto"/>
        <w:right w:val="none" w:sz="0" w:space="0" w:color="auto"/>
      </w:divBdr>
    </w:div>
    <w:div w:id="1646885447">
      <w:bodyDiv w:val="1"/>
      <w:marLeft w:val="0"/>
      <w:marRight w:val="0"/>
      <w:marTop w:val="0"/>
      <w:marBottom w:val="0"/>
      <w:divBdr>
        <w:top w:val="none" w:sz="0" w:space="0" w:color="auto"/>
        <w:left w:val="none" w:sz="0" w:space="0" w:color="auto"/>
        <w:bottom w:val="none" w:sz="0" w:space="0" w:color="auto"/>
        <w:right w:val="none" w:sz="0" w:space="0" w:color="auto"/>
      </w:divBdr>
      <w:divsChild>
        <w:div w:id="560286175">
          <w:marLeft w:val="1166"/>
          <w:marRight w:val="0"/>
          <w:marTop w:val="0"/>
          <w:marBottom w:val="0"/>
          <w:divBdr>
            <w:top w:val="none" w:sz="0" w:space="0" w:color="auto"/>
            <w:left w:val="none" w:sz="0" w:space="0" w:color="auto"/>
            <w:bottom w:val="none" w:sz="0" w:space="0" w:color="auto"/>
            <w:right w:val="none" w:sz="0" w:space="0" w:color="auto"/>
          </w:divBdr>
        </w:div>
        <w:div w:id="1672025043">
          <w:marLeft w:val="1166"/>
          <w:marRight w:val="0"/>
          <w:marTop w:val="0"/>
          <w:marBottom w:val="0"/>
          <w:divBdr>
            <w:top w:val="none" w:sz="0" w:space="0" w:color="auto"/>
            <w:left w:val="none" w:sz="0" w:space="0" w:color="auto"/>
            <w:bottom w:val="none" w:sz="0" w:space="0" w:color="auto"/>
            <w:right w:val="none" w:sz="0" w:space="0" w:color="auto"/>
          </w:divBdr>
        </w:div>
        <w:div w:id="1908952506">
          <w:marLeft w:val="1166"/>
          <w:marRight w:val="0"/>
          <w:marTop w:val="0"/>
          <w:marBottom w:val="0"/>
          <w:divBdr>
            <w:top w:val="none" w:sz="0" w:space="0" w:color="auto"/>
            <w:left w:val="none" w:sz="0" w:space="0" w:color="auto"/>
            <w:bottom w:val="none" w:sz="0" w:space="0" w:color="auto"/>
            <w:right w:val="none" w:sz="0" w:space="0" w:color="auto"/>
          </w:divBdr>
        </w:div>
        <w:div w:id="139928626">
          <w:marLeft w:val="1166"/>
          <w:marRight w:val="0"/>
          <w:marTop w:val="0"/>
          <w:marBottom w:val="0"/>
          <w:divBdr>
            <w:top w:val="none" w:sz="0" w:space="0" w:color="auto"/>
            <w:left w:val="none" w:sz="0" w:space="0" w:color="auto"/>
            <w:bottom w:val="none" w:sz="0" w:space="0" w:color="auto"/>
            <w:right w:val="none" w:sz="0" w:space="0" w:color="auto"/>
          </w:divBdr>
        </w:div>
        <w:div w:id="756440261">
          <w:marLeft w:val="1166"/>
          <w:marRight w:val="0"/>
          <w:marTop w:val="0"/>
          <w:marBottom w:val="0"/>
          <w:divBdr>
            <w:top w:val="none" w:sz="0" w:space="0" w:color="auto"/>
            <w:left w:val="none" w:sz="0" w:space="0" w:color="auto"/>
            <w:bottom w:val="none" w:sz="0" w:space="0" w:color="auto"/>
            <w:right w:val="none" w:sz="0" w:space="0" w:color="auto"/>
          </w:divBdr>
        </w:div>
        <w:div w:id="1261913998">
          <w:marLeft w:val="1166"/>
          <w:marRight w:val="0"/>
          <w:marTop w:val="0"/>
          <w:marBottom w:val="0"/>
          <w:divBdr>
            <w:top w:val="none" w:sz="0" w:space="0" w:color="auto"/>
            <w:left w:val="none" w:sz="0" w:space="0" w:color="auto"/>
            <w:bottom w:val="none" w:sz="0" w:space="0" w:color="auto"/>
            <w:right w:val="none" w:sz="0" w:space="0" w:color="auto"/>
          </w:divBdr>
        </w:div>
        <w:div w:id="1718966828">
          <w:marLeft w:val="1166"/>
          <w:marRight w:val="0"/>
          <w:marTop w:val="0"/>
          <w:marBottom w:val="0"/>
          <w:divBdr>
            <w:top w:val="none" w:sz="0" w:space="0" w:color="auto"/>
            <w:left w:val="none" w:sz="0" w:space="0" w:color="auto"/>
            <w:bottom w:val="none" w:sz="0" w:space="0" w:color="auto"/>
            <w:right w:val="none" w:sz="0" w:space="0" w:color="auto"/>
          </w:divBdr>
        </w:div>
      </w:divsChild>
    </w:div>
    <w:div w:id="1825464447">
      <w:bodyDiv w:val="1"/>
      <w:marLeft w:val="0"/>
      <w:marRight w:val="0"/>
      <w:marTop w:val="0"/>
      <w:marBottom w:val="0"/>
      <w:divBdr>
        <w:top w:val="none" w:sz="0" w:space="0" w:color="auto"/>
        <w:left w:val="none" w:sz="0" w:space="0" w:color="auto"/>
        <w:bottom w:val="none" w:sz="0" w:space="0" w:color="auto"/>
        <w:right w:val="none" w:sz="0" w:space="0" w:color="auto"/>
      </w:divBdr>
    </w:div>
    <w:div w:id="2043166563">
      <w:bodyDiv w:val="1"/>
      <w:marLeft w:val="0"/>
      <w:marRight w:val="0"/>
      <w:marTop w:val="0"/>
      <w:marBottom w:val="0"/>
      <w:divBdr>
        <w:top w:val="none" w:sz="0" w:space="0" w:color="auto"/>
        <w:left w:val="none" w:sz="0" w:space="0" w:color="auto"/>
        <w:bottom w:val="none" w:sz="0" w:space="0" w:color="auto"/>
        <w:right w:val="none" w:sz="0" w:space="0" w:color="auto"/>
      </w:divBdr>
    </w:div>
    <w:div w:id="204775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tocollo.comune.cuneo@legalmail.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tocollo.comune.cuneo@legalmail.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fficio.protocollo@comune.cuneo.i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B35C4B5E12B694CBF03E562F7C9DF47" ma:contentTypeVersion="7" ma:contentTypeDescription="Creare un nuovo documento." ma:contentTypeScope="" ma:versionID="2dca5e85b37e82c686b0b5b5bdffd693">
  <xsd:schema xmlns:xsd="http://www.w3.org/2001/XMLSchema" xmlns:xs="http://www.w3.org/2001/XMLSchema" xmlns:p="http://schemas.microsoft.com/office/2006/metadata/properties" xmlns:ns3="ba977803-bf74-4404-8d68-16a37b4b84b4" targetNamespace="http://schemas.microsoft.com/office/2006/metadata/properties" ma:root="true" ma:fieldsID="8870d36ef5ef78513c50d176f3350d41" ns3:_="">
    <xsd:import namespace="ba977803-bf74-4404-8d68-16a37b4b84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77803-bf74-4404-8d68-16a37b4b8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EA5403-AC54-46E9-9F44-8DBE0EEF5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77803-bf74-4404-8d68-16a37b4b8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B7673E-A092-44B4-9B37-14B0F40A28E9}">
  <ds:schemaRefs>
    <ds:schemaRef ds:uri="http://schemas.microsoft.com/sharepoint/v3/contenttype/forms"/>
  </ds:schemaRefs>
</ds:datastoreItem>
</file>

<file path=customXml/itemProps3.xml><?xml version="1.0" encoding="utf-8"?>
<ds:datastoreItem xmlns:ds="http://schemas.openxmlformats.org/officeDocument/2006/customXml" ds:itemID="{F284DF38-592C-42B4-9669-BF7B084992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12</Pages>
  <Words>2212</Words>
  <Characters>12615</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Di Girolamo</dc:creator>
  <cp:keywords/>
  <dc:description/>
  <cp:lastModifiedBy>Ghigo Paola</cp:lastModifiedBy>
  <cp:revision>511</cp:revision>
  <dcterms:created xsi:type="dcterms:W3CDTF">2019-12-16T08:16:00Z</dcterms:created>
  <dcterms:modified xsi:type="dcterms:W3CDTF">2019-12-30T08:31:00Z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0x0101003B35C4B5E12B694CBF03E562F7C9DF47</vt:lpwstr>
  </property>
</Properties>
</file>